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FD45" w14:textId="57874B66" w:rsidR="008D2025" w:rsidRPr="007E104B" w:rsidRDefault="007E104B" w:rsidP="001177AA">
      <w:pPr>
        <w:pStyle w:val="Title"/>
        <w:spacing w:line="276" w:lineRule="auto"/>
        <w:jc w:val="center"/>
        <w:rPr>
          <w:sz w:val="60"/>
          <w:szCs w:val="60"/>
        </w:rPr>
      </w:pPr>
      <w:r w:rsidRPr="007E104B">
        <w:rPr>
          <w:sz w:val="60"/>
          <w:szCs w:val="60"/>
        </w:rPr>
        <w:t>Liver Surveillance Guidelin</w:t>
      </w:r>
      <w:r>
        <w:rPr>
          <w:sz w:val="60"/>
          <w:szCs w:val="60"/>
        </w:rPr>
        <w:t>es</w:t>
      </w:r>
    </w:p>
    <w:p w14:paraId="07F90305" w14:textId="77777777" w:rsidR="007E104B" w:rsidRDefault="007E104B" w:rsidP="001177AA">
      <w:pPr>
        <w:jc w:val="both"/>
        <w:rPr>
          <w:rFonts w:asciiTheme="majorHAnsi" w:hAnsiTheme="majorHAnsi" w:cstheme="majorHAnsi"/>
        </w:rPr>
      </w:pPr>
    </w:p>
    <w:tbl>
      <w:tblPr>
        <w:tblStyle w:val="TableGrid"/>
        <w:tblW w:w="0" w:type="auto"/>
        <w:tblLook w:val="04A0" w:firstRow="1" w:lastRow="0" w:firstColumn="1" w:lastColumn="0" w:noHBand="0" w:noVBand="1"/>
      </w:tblPr>
      <w:tblGrid>
        <w:gridCol w:w="4981"/>
        <w:gridCol w:w="4981"/>
      </w:tblGrid>
      <w:tr w:rsidR="001177AA" w14:paraId="119A52AD" w14:textId="77777777" w:rsidTr="001177AA">
        <w:tc>
          <w:tcPr>
            <w:tcW w:w="4981" w:type="dxa"/>
          </w:tcPr>
          <w:p w14:paraId="01D13403" w14:textId="51296EC4" w:rsidR="001177AA" w:rsidRDefault="001177AA" w:rsidP="001177AA">
            <w:pPr>
              <w:jc w:val="both"/>
              <w:rPr>
                <w:rFonts w:asciiTheme="majorHAnsi" w:hAnsiTheme="majorHAnsi" w:cstheme="majorHAnsi"/>
              </w:rPr>
            </w:pPr>
            <w:r>
              <w:rPr>
                <w:rFonts w:asciiTheme="majorHAnsi" w:hAnsiTheme="majorHAnsi" w:cstheme="majorHAnsi"/>
              </w:rPr>
              <w:t>Author:</w:t>
            </w:r>
          </w:p>
        </w:tc>
        <w:tc>
          <w:tcPr>
            <w:tcW w:w="4981" w:type="dxa"/>
          </w:tcPr>
          <w:p w14:paraId="51C51A99" w14:textId="229ABE29" w:rsidR="001177AA" w:rsidRDefault="001177AA" w:rsidP="001177AA">
            <w:pPr>
              <w:jc w:val="both"/>
              <w:rPr>
                <w:rFonts w:asciiTheme="majorHAnsi" w:hAnsiTheme="majorHAnsi" w:cstheme="majorHAnsi"/>
              </w:rPr>
            </w:pPr>
            <w:r>
              <w:rPr>
                <w:rFonts w:asciiTheme="majorHAnsi" w:hAnsiTheme="majorHAnsi" w:cstheme="majorHAnsi"/>
              </w:rPr>
              <w:t>GM Hepatology Network</w:t>
            </w:r>
          </w:p>
        </w:tc>
      </w:tr>
      <w:tr w:rsidR="001177AA" w14:paraId="24F74B7A" w14:textId="77777777" w:rsidTr="001177AA">
        <w:tc>
          <w:tcPr>
            <w:tcW w:w="4981" w:type="dxa"/>
          </w:tcPr>
          <w:p w14:paraId="68628153" w14:textId="2D503F8C" w:rsidR="001177AA" w:rsidRDefault="001177AA" w:rsidP="001177AA">
            <w:pPr>
              <w:jc w:val="both"/>
              <w:rPr>
                <w:rFonts w:asciiTheme="majorHAnsi" w:hAnsiTheme="majorHAnsi" w:cstheme="majorHAnsi"/>
              </w:rPr>
            </w:pPr>
            <w:r>
              <w:rPr>
                <w:rFonts w:asciiTheme="majorHAnsi" w:hAnsiTheme="majorHAnsi" w:cstheme="majorHAnsi"/>
              </w:rPr>
              <w:t>Version:</w:t>
            </w:r>
          </w:p>
        </w:tc>
        <w:tc>
          <w:tcPr>
            <w:tcW w:w="4981" w:type="dxa"/>
          </w:tcPr>
          <w:p w14:paraId="26083C20" w14:textId="2F527B9A" w:rsidR="001177AA" w:rsidRDefault="001177AA" w:rsidP="001177AA">
            <w:pPr>
              <w:jc w:val="both"/>
              <w:rPr>
                <w:rFonts w:asciiTheme="majorHAnsi" w:hAnsiTheme="majorHAnsi" w:cstheme="majorHAnsi"/>
              </w:rPr>
            </w:pPr>
            <w:r>
              <w:rPr>
                <w:rFonts w:asciiTheme="majorHAnsi" w:hAnsiTheme="majorHAnsi" w:cstheme="majorHAnsi"/>
              </w:rPr>
              <w:t>1.0</w:t>
            </w:r>
          </w:p>
        </w:tc>
      </w:tr>
      <w:tr w:rsidR="001177AA" w14:paraId="7099941F" w14:textId="77777777" w:rsidTr="001177AA">
        <w:tc>
          <w:tcPr>
            <w:tcW w:w="4981" w:type="dxa"/>
          </w:tcPr>
          <w:p w14:paraId="3E175579" w14:textId="4B1F10D8" w:rsidR="001177AA" w:rsidRDefault="001177AA" w:rsidP="001177AA">
            <w:pPr>
              <w:jc w:val="both"/>
              <w:rPr>
                <w:rFonts w:asciiTheme="majorHAnsi" w:hAnsiTheme="majorHAnsi" w:cstheme="majorHAnsi"/>
              </w:rPr>
            </w:pPr>
            <w:r>
              <w:rPr>
                <w:rFonts w:asciiTheme="majorHAnsi" w:hAnsiTheme="majorHAnsi" w:cstheme="majorHAnsi"/>
              </w:rPr>
              <w:t>Published:</w:t>
            </w:r>
          </w:p>
        </w:tc>
        <w:tc>
          <w:tcPr>
            <w:tcW w:w="4981" w:type="dxa"/>
          </w:tcPr>
          <w:p w14:paraId="2036C7BE" w14:textId="6B54242E" w:rsidR="001177AA" w:rsidRDefault="001177AA" w:rsidP="001177AA">
            <w:pPr>
              <w:jc w:val="both"/>
              <w:rPr>
                <w:rFonts w:asciiTheme="majorHAnsi" w:hAnsiTheme="majorHAnsi" w:cstheme="majorHAnsi"/>
              </w:rPr>
            </w:pPr>
            <w:r>
              <w:rPr>
                <w:rFonts w:asciiTheme="majorHAnsi" w:hAnsiTheme="majorHAnsi" w:cstheme="majorHAnsi"/>
              </w:rPr>
              <w:t>10</w:t>
            </w:r>
            <w:r w:rsidRPr="001177AA">
              <w:rPr>
                <w:rFonts w:asciiTheme="majorHAnsi" w:hAnsiTheme="majorHAnsi" w:cstheme="majorHAnsi"/>
                <w:vertAlign w:val="superscript"/>
              </w:rPr>
              <w:t>th</w:t>
            </w:r>
            <w:r>
              <w:rPr>
                <w:rFonts w:asciiTheme="majorHAnsi" w:hAnsiTheme="majorHAnsi" w:cstheme="majorHAnsi"/>
              </w:rPr>
              <w:t xml:space="preserve"> May 2024</w:t>
            </w:r>
          </w:p>
        </w:tc>
      </w:tr>
      <w:tr w:rsidR="001177AA" w14:paraId="58E83E8E" w14:textId="77777777" w:rsidTr="001177AA">
        <w:tc>
          <w:tcPr>
            <w:tcW w:w="4981" w:type="dxa"/>
          </w:tcPr>
          <w:p w14:paraId="4ED449C5" w14:textId="7133FBFC" w:rsidR="001177AA" w:rsidRDefault="001177AA" w:rsidP="001177AA">
            <w:pPr>
              <w:jc w:val="both"/>
              <w:rPr>
                <w:rFonts w:asciiTheme="majorHAnsi" w:hAnsiTheme="majorHAnsi" w:cstheme="majorHAnsi"/>
              </w:rPr>
            </w:pPr>
            <w:r>
              <w:rPr>
                <w:rFonts w:asciiTheme="majorHAnsi" w:hAnsiTheme="majorHAnsi" w:cstheme="majorHAnsi"/>
              </w:rPr>
              <w:t>Review date:</w:t>
            </w:r>
          </w:p>
        </w:tc>
        <w:tc>
          <w:tcPr>
            <w:tcW w:w="4981" w:type="dxa"/>
          </w:tcPr>
          <w:p w14:paraId="411EE29B" w14:textId="365B5BCB" w:rsidR="001177AA" w:rsidRDefault="001177AA" w:rsidP="001177AA">
            <w:pPr>
              <w:jc w:val="both"/>
              <w:rPr>
                <w:rFonts w:asciiTheme="majorHAnsi" w:hAnsiTheme="majorHAnsi" w:cstheme="majorHAnsi"/>
              </w:rPr>
            </w:pPr>
            <w:r>
              <w:rPr>
                <w:rFonts w:asciiTheme="majorHAnsi" w:hAnsiTheme="majorHAnsi" w:cstheme="majorHAnsi"/>
              </w:rPr>
              <w:t>10</w:t>
            </w:r>
            <w:r w:rsidRPr="001177AA">
              <w:rPr>
                <w:rFonts w:asciiTheme="majorHAnsi" w:hAnsiTheme="majorHAnsi" w:cstheme="majorHAnsi"/>
                <w:vertAlign w:val="superscript"/>
              </w:rPr>
              <w:t>th</w:t>
            </w:r>
            <w:r>
              <w:rPr>
                <w:rFonts w:asciiTheme="majorHAnsi" w:hAnsiTheme="majorHAnsi" w:cstheme="majorHAnsi"/>
              </w:rPr>
              <w:t xml:space="preserve"> May 2026</w:t>
            </w:r>
          </w:p>
        </w:tc>
      </w:tr>
    </w:tbl>
    <w:p w14:paraId="4A47E89D" w14:textId="4A4FF8B5" w:rsidR="007E104B" w:rsidRDefault="007E104B" w:rsidP="001177AA">
      <w:pPr>
        <w:jc w:val="both"/>
        <w:rPr>
          <w:rFonts w:asciiTheme="majorHAnsi" w:hAnsiTheme="majorHAnsi" w:cstheme="majorHAnsi"/>
        </w:rPr>
      </w:pPr>
    </w:p>
    <w:p w14:paraId="43AA9DB9" w14:textId="77777777" w:rsidR="007E104B" w:rsidRPr="001177AA" w:rsidRDefault="007E104B" w:rsidP="001177AA">
      <w:pPr>
        <w:jc w:val="both"/>
        <w:rPr>
          <w:rFonts w:asciiTheme="majorHAnsi" w:hAnsiTheme="majorHAnsi" w:cstheme="majorHAnsi"/>
          <w:sz w:val="22"/>
          <w:szCs w:val="22"/>
        </w:rPr>
      </w:pPr>
    </w:p>
    <w:p w14:paraId="3E222034" w14:textId="77777777" w:rsidR="007E104B" w:rsidRPr="001177AA" w:rsidRDefault="007E104B" w:rsidP="001177AA">
      <w:pPr>
        <w:pStyle w:val="ListParagraph"/>
        <w:numPr>
          <w:ilvl w:val="0"/>
          <w:numId w:val="1"/>
        </w:numPr>
        <w:jc w:val="both"/>
        <w:rPr>
          <w:rFonts w:asciiTheme="majorHAnsi" w:hAnsiTheme="majorHAnsi" w:cstheme="majorHAnsi"/>
          <w:spacing w:val="-10"/>
        </w:rPr>
      </w:pPr>
      <w:r w:rsidRPr="001177AA">
        <w:rPr>
          <w:rFonts w:asciiTheme="majorHAnsi" w:hAnsiTheme="majorHAnsi" w:cstheme="majorHAnsi"/>
          <w:spacing w:val="-10"/>
        </w:rPr>
        <w:t xml:space="preserve">People at a significantly increased risk of hepatocellular carcinoma (HCC) due to underlying liver disease meeting the inclusion criteria below and without any of the exclusion criteria should be offered 6 monthly </w:t>
      </w:r>
      <w:proofErr w:type="gramStart"/>
      <w:r w:rsidRPr="001177AA">
        <w:rPr>
          <w:rFonts w:asciiTheme="majorHAnsi" w:hAnsiTheme="majorHAnsi" w:cstheme="majorHAnsi"/>
          <w:spacing w:val="-10"/>
        </w:rPr>
        <w:t>surveillance</w:t>
      </w:r>
      <w:proofErr w:type="gramEnd"/>
      <w:r w:rsidRPr="001177AA">
        <w:rPr>
          <w:rFonts w:asciiTheme="majorHAnsi" w:hAnsiTheme="majorHAnsi" w:cstheme="majorHAnsi"/>
          <w:spacing w:val="-10"/>
        </w:rPr>
        <w:t xml:space="preserve"> for hepatocellular carcinoma.</w:t>
      </w:r>
    </w:p>
    <w:p w14:paraId="3E3A3BE3" w14:textId="77777777" w:rsidR="007E104B" w:rsidRPr="001177AA" w:rsidRDefault="007E104B" w:rsidP="001177AA">
      <w:pPr>
        <w:pStyle w:val="ListParagraph"/>
        <w:jc w:val="both"/>
        <w:rPr>
          <w:rFonts w:asciiTheme="majorHAnsi" w:hAnsiTheme="majorHAnsi" w:cstheme="majorHAnsi"/>
          <w:spacing w:val="-10"/>
        </w:rPr>
      </w:pPr>
    </w:p>
    <w:p w14:paraId="5B185ADD" w14:textId="77777777" w:rsidR="007E104B" w:rsidRPr="001177AA" w:rsidRDefault="007E104B" w:rsidP="001177AA">
      <w:pPr>
        <w:pStyle w:val="ListParagraph"/>
        <w:numPr>
          <w:ilvl w:val="0"/>
          <w:numId w:val="1"/>
        </w:numPr>
        <w:jc w:val="both"/>
        <w:rPr>
          <w:rFonts w:asciiTheme="majorHAnsi" w:hAnsiTheme="majorHAnsi" w:cstheme="majorHAnsi"/>
          <w:spacing w:val="-10"/>
        </w:rPr>
      </w:pPr>
      <w:r w:rsidRPr="001177AA">
        <w:rPr>
          <w:rFonts w:asciiTheme="majorHAnsi" w:hAnsiTheme="majorHAnsi" w:cstheme="majorHAnsi"/>
          <w:spacing w:val="-10"/>
        </w:rPr>
        <w:t xml:space="preserve">The primary modality for hepatocellular carcinoma screening should be liver ultrasound, which should be performed by highly trained </w:t>
      </w:r>
      <w:proofErr w:type="spellStart"/>
      <w:r w:rsidRPr="001177AA">
        <w:rPr>
          <w:rFonts w:asciiTheme="majorHAnsi" w:hAnsiTheme="majorHAnsi" w:cstheme="majorHAnsi"/>
          <w:spacing w:val="-10"/>
        </w:rPr>
        <w:t>ultrasonographers</w:t>
      </w:r>
      <w:proofErr w:type="spellEnd"/>
      <w:r w:rsidRPr="001177AA">
        <w:rPr>
          <w:rFonts w:asciiTheme="majorHAnsi" w:hAnsiTheme="majorHAnsi" w:cstheme="majorHAnsi"/>
          <w:spacing w:val="-10"/>
        </w:rPr>
        <w:t xml:space="preserve"> with experience of imaging cirrhotic livers. Where ultrasound give suboptimal liver views (for example due to obesity) other imaging modalities such as MR liver may be considered based on adequacy of imaging and individual patient risk, however this is unlikely to be cost effective on a whole population basis.</w:t>
      </w:r>
    </w:p>
    <w:p w14:paraId="5062C399" w14:textId="77777777" w:rsidR="007E104B" w:rsidRPr="001177AA" w:rsidRDefault="007E104B" w:rsidP="001177AA">
      <w:pPr>
        <w:pStyle w:val="ListParagraph"/>
        <w:jc w:val="both"/>
        <w:rPr>
          <w:rFonts w:asciiTheme="majorHAnsi" w:hAnsiTheme="majorHAnsi" w:cstheme="majorHAnsi"/>
          <w:spacing w:val="-10"/>
        </w:rPr>
      </w:pPr>
    </w:p>
    <w:p w14:paraId="77F6B353" w14:textId="77777777" w:rsidR="007E104B" w:rsidRPr="001177AA" w:rsidRDefault="007E104B" w:rsidP="001177AA">
      <w:pPr>
        <w:pStyle w:val="ListParagraph"/>
        <w:numPr>
          <w:ilvl w:val="1"/>
          <w:numId w:val="1"/>
        </w:numPr>
        <w:jc w:val="both"/>
        <w:rPr>
          <w:rFonts w:asciiTheme="majorHAnsi" w:hAnsiTheme="majorHAnsi" w:cstheme="majorHAnsi"/>
          <w:spacing w:val="-10"/>
        </w:rPr>
      </w:pPr>
      <w:r w:rsidRPr="001177AA">
        <w:rPr>
          <w:rFonts w:asciiTheme="majorHAnsi" w:hAnsiTheme="majorHAnsi" w:cstheme="majorHAnsi"/>
          <w:spacing w:val="-10"/>
        </w:rPr>
        <w:t>Where possible ultrasound scans should be reported consistently in keeping with validated reporting systems</w:t>
      </w:r>
    </w:p>
    <w:p w14:paraId="4E4A62D3" w14:textId="77777777" w:rsidR="007E104B" w:rsidRPr="001177AA" w:rsidRDefault="007E104B" w:rsidP="001177AA">
      <w:pPr>
        <w:pStyle w:val="ListParagraph"/>
        <w:jc w:val="both"/>
        <w:rPr>
          <w:rFonts w:asciiTheme="majorHAnsi" w:hAnsiTheme="majorHAnsi" w:cstheme="majorHAnsi"/>
          <w:spacing w:val="-10"/>
        </w:rPr>
      </w:pPr>
    </w:p>
    <w:p w14:paraId="16BE133E" w14:textId="77777777" w:rsidR="007E104B" w:rsidRPr="001177AA" w:rsidRDefault="007E104B" w:rsidP="001177AA">
      <w:pPr>
        <w:pStyle w:val="ListParagraph"/>
        <w:numPr>
          <w:ilvl w:val="0"/>
          <w:numId w:val="1"/>
        </w:numPr>
        <w:jc w:val="both"/>
        <w:rPr>
          <w:rFonts w:asciiTheme="majorHAnsi" w:hAnsiTheme="majorHAnsi" w:cstheme="majorHAnsi"/>
          <w:spacing w:val="-10"/>
        </w:rPr>
      </w:pPr>
      <w:r w:rsidRPr="001177AA">
        <w:rPr>
          <w:rFonts w:asciiTheme="majorHAnsi" w:hAnsiTheme="majorHAnsi" w:cstheme="majorHAnsi"/>
          <w:spacing w:val="-10"/>
        </w:rPr>
        <w:t xml:space="preserve">Alpha fetoprotein (AFP) levels are </w:t>
      </w:r>
      <w:proofErr w:type="gramStart"/>
      <w:r w:rsidRPr="001177AA">
        <w:rPr>
          <w:rFonts w:asciiTheme="majorHAnsi" w:hAnsiTheme="majorHAnsi" w:cstheme="majorHAnsi"/>
          <w:spacing w:val="-10"/>
        </w:rPr>
        <w:t>recommended  6</w:t>
      </w:r>
      <w:proofErr w:type="gramEnd"/>
      <w:r w:rsidRPr="001177AA">
        <w:rPr>
          <w:rFonts w:asciiTheme="majorHAnsi" w:hAnsiTheme="majorHAnsi" w:cstheme="majorHAnsi"/>
          <w:spacing w:val="-10"/>
        </w:rPr>
        <w:t xml:space="preserve"> monthly in patients undergoing screening for patients with a Hepatitis B related risk of hepatoma in keeping with NICE guidance CG165. AFP should be considered for patients undergoing screening for liver disease of other aetiologies. A cut </w:t>
      </w:r>
      <w:proofErr w:type="gramStart"/>
      <w:r w:rsidRPr="001177AA">
        <w:rPr>
          <w:rFonts w:asciiTheme="majorHAnsi" w:hAnsiTheme="majorHAnsi" w:cstheme="majorHAnsi"/>
          <w:spacing w:val="-10"/>
        </w:rPr>
        <w:t>off of</w:t>
      </w:r>
      <w:proofErr w:type="gramEnd"/>
      <w:r w:rsidRPr="001177AA">
        <w:rPr>
          <w:rFonts w:asciiTheme="majorHAnsi" w:hAnsiTheme="majorHAnsi" w:cstheme="majorHAnsi"/>
          <w:spacing w:val="-10"/>
        </w:rPr>
        <w:t xml:space="preserve"> 10 </w:t>
      </w:r>
      <w:proofErr w:type="spellStart"/>
      <w:r w:rsidRPr="001177AA">
        <w:rPr>
          <w:rFonts w:asciiTheme="majorHAnsi" w:hAnsiTheme="majorHAnsi" w:cstheme="majorHAnsi"/>
          <w:spacing w:val="-10"/>
        </w:rPr>
        <w:t>ku</w:t>
      </w:r>
      <w:proofErr w:type="spellEnd"/>
      <w:r w:rsidRPr="001177AA">
        <w:rPr>
          <w:rFonts w:asciiTheme="majorHAnsi" w:hAnsiTheme="majorHAnsi" w:cstheme="majorHAnsi"/>
          <w:spacing w:val="-10"/>
        </w:rPr>
        <w:t>/l should be considered abnormal.</w:t>
      </w:r>
    </w:p>
    <w:p w14:paraId="14F4FC28" w14:textId="77777777" w:rsidR="007E104B" w:rsidRPr="001177AA" w:rsidRDefault="007E104B" w:rsidP="001177AA">
      <w:pPr>
        <w:pStyle w:val="ListParagraph"/>
        <w:jc w:val="both"/>
        <w:rPr>
          <w:rFonts w:asciiTheme="majorHAnsi" w:hAnsiTheme="majorHAnsi" w:cstheme="majorHAnsi"/>
          <w:spacing w:val="-10"/>
        </w:rPr>
      </w:pPr>
    </w:p>
    <w:p w14:paraId="157A3AB7" w14:textId="77777777" w:rsidR="007E104B" w:rsidRPr="001177AA" w:rsidRDefault="007E104B" w:rsidP="001177AA">
      <w:pPr>
        <w:pStyle w:val="ListParagraph"/>
        <w:numPr>
          <w:ilvl w:val="1"/>
          <w:numId w:val="1"/>
        </w:numPr>
        <w:jc w:val="both"/>
        <w:rPr>
          <w:rFonts w:asciiTheme="majorHAnsi" w:hAnsiTheme="majorHAnsi" w:cstheme="majorHAnsi"/>
          <w:spacing w:val="-10"/>
        </w:rPr>
      </w:pPr>
      <w:r w:rsidRPr="001177AA">
        <w:rPr>
          <w:rFonts w:asciiTheme="majorHAnsi" w:hAnsiTheme="majorHAnsi" w:cstheme="majorHAnsi"/>
          <w:spacing w:val="-10"/>
        </w:rPr>
        <w:t xml:space="preserve">Where a patient has an AFP level greater than 10 </w:t>
      </w:r>
      <w:proofErr w:type="spellStart"/>
      <w:r w:rsidRPr="001177AA">
        <w:rPr>
          <w:rFonts w:asciiTheme="majorHAnsi" w:hAnsiTheme="majorHAnsi" w:cstheme="majorHAnsi"/>
          <w:spacing w:val="-10"/>
        </w:rPr>
        <w:t>ku</w:t>
      </w:r>
      <w:proofErr w:type="spellEnd"/>
      <w:r w:rsidRPr="001177AA">
        <w:rPr>
          <w:rFonts w:asciiTheme="majorHAnsi" w:hAnsiTheme="majorHAnsi" w:cstheme="majorHAnsi"/>
          <w:spacing w:val="-10"/>
        </w:rPr>
        <w:t>/l without evidence of a focal lesion on US an MR of liver should be undertaken to look for liver lesions and if negative this should be repeated after 3 to 6 months.</w:t>
      </w:r>
    </w:p>
    <w:p w14:paraId="0D2B2A18" w14:textId="77777777" w:rsidR="007E104B" w:rsidRPr="001177AA" w:rsidRDefault="007E104B" w:rsidP="001177AA">
      <w:pPr>
        <w:pStyle w:val="ListParagraph"/>
        <w:ind w:left="1440"/>
        <w:jc w:val="both"/>
        <w:rPr>
          <w:rFonts w:asciiTheme="majorHAnsi" w:hAnsiTheme="majorHAnsi" w:cstheme="majorHAnsi"/>
          <w:spacing w:val="-10"/>
        </w:rPr>
      </w:pPr>
    </w:p>
    <w:p w14:paraId="4BFA8341" w14:textId="77777777" w:rsidR="007E104B" w:rsidRPr="001177AA" w:rsidRDefault="007E104B" w:rsidP="001177AA">
      <w:pPr>
        <w:pStyle w:val="ListParagraph"/>
        <w:numPr>
          <w:ilvl w:val="1"/>
          <w:numId w:val="1"/>
        </w:numPr>
        <w:jc w:val="both"/>
        <w:rPr>
          <w:rFonts w:asciiTheme="majorHAnsi" w:hAnsiTheme="majorHAnsi" w:cstheme="majorHAnsi"/>
          <w:spacing w:val="-10"/>
        </w:rPr>
      </w:pPr>
      <w:r w:rsidRPr="001177AA">
        <w:rPr>
          <w:rFonts w:asciiTheme="majorHAnsi" w:hAnsiTheme="majorHAnsi" w:cstheme="majorHAnsi"/>
          <w:spacing w:val="-10"/>
        </w:rPr>
        <w:t xml:space="preserve">Patients with chronically or intermittently elevated AFP levels but two normal MR scans of liver may return to routine </w:t>
      </w:r>
      <w:proofErr w:type="gramStart"/>
      <w:r w:rsidRPr="001177AA">
        <w:rPr>
          <w:rFonts w:asciiTheme="majorHAnsi" w:hAnsiTheme="majorHAnsi" w:cstheme="majorHAnsi"/>
          <w:spacing w:val="-10"/>
        </w:rPr>
        <w:t>ultrasound based</w:t>
      </w:r>
      <w:proofErr w:type="gramEnd"/>
      <w:r w:rsidRPr="001177AA">
        <w:rPr>
          <w:rFonts w:asciiTheme="majorHAnsi" w:hAnsiTheme="majorHAnsi" w:cstheme="majorHAnsi"/>
          <w:spacing w:val="-10"/>
        </w:rPr>
        <w:t xml:space="preserve"> surveillance unless there is a significant further increase in the AFP level (based on the clinician discretion). </w:t>
      </w:r>
    </w:p>
    <w:p w14:paraId="648A38B7" w14:textId="77777777" w:rsidR="007E104B" w:rsidRPr="001177AA" w:rsidRDefault="007E104B" w:rsidP="001177AA">
      <w:pPr>
        <w:pStyle w:val="ListParagraph"/>
        <w:jc w:val="both"/>
        <w:rPr>
          <w:rFonts w:asciiTheme="majorHAnsi" w:hAnsiTheme="majorHAnsi" w:cstheme="majorHAnsi"/>
          <w:spacing w:val="-10"/>
        </w:rPr>
      </w:pPr>
    </w:p>
    <w:p w14:paraId="25AEB819" w14:textId="77777777" w:rsidR="007E104B" w:rsidRPr="001177AA" w:rsidRDefault="007E104B" w:rsidP="001177AA">
      <w:pPr>
        <w:pStyle w:val="ListParagraph"/>
        <w:ind w:left="1440"/>
        <w:jc w:val="both"/>
        <w:rPr>
          <w:rFonts w:asciiTheme="majorHAnsi" w:hAnsiTheme="majorHAnsi" w:cstheme="majorHAnsi"/>
          <w:spacing w:val="-10"/>
        </w:rPr>
      </w:pPr>
    </w:p>
    <w:p w14:paraId="3AD954F9" w14:textId="77777777" w:rsidR="007E104B" w:rsidRPr="001177AA" w:rsidRDefault="007E104B" w:rsidP="001177AA">
      <w:pPr>
        <w:pStyle w:val="ListParagraph"/>
        <w:numPr>
          <w:ilvl w:val="0"/>
          <w:numId w:val="1"/>
        </w:numPr>
        <w:jc w:val="both"/>
        <w:rPr>
          <w:rFonts w:asciiTheme="majorHAnsi" w:hAnsiTheme="majorHAnsi" w:cstheme="majorHAnsi"/>
          <w:spacing w:val="-10"/>
        </w:rPr>
      </w:pPr>
      <w:r w:rsidRPr="001177AA">
        <w:rPr>
          <w:rFonts w:asciiTheme="majorHAnsi" w:hAnsiTheme="majorHAnsi" w:cstheme="majorHAnsi"/>
          <w:spacing w:val="-10"/>
        </w:rPr>
        <w:t>Inclusion criteria for HCC surveillance are given below. Patients in the highest risk groups for HCC development should be prioritised for screening where capacity limits the capability to screen at risk groups.</w:t>
      </w:r>
    </w:p>
    <w:p w14:paraId="3E9DAFA5" w14:textId="77777777" w:rsidR="007E104B" w:rsidRPr="001177AA" w:rsidRDefault="007E104B" w:rsidP="001177AA">
      <w:pPr>
        <w:pStyle w:val="ListParagraph"/>
        <w:jc w:val="both"/>
        <w:rPr>
          <w:rFonts w:asciiTheme="majorHAnsi" w:hAnsiTheme="majorHAnsi" w:cstheme="majorHAnsi"/>
          <w:spacing w:val="-10"/>
        </w:rPr>
      </w:pPr>
    </w:p>
    <w:p w14:paraId="426828F4" w14:textId="77777777" w:rsidR="007E104B" w:rsidRPr="001177AA" w:rsidRDefault="007E104B" w:rsidP="001177AA">
      <w:pPr>
        <w:pStyle w:val="ListParagraph"/>
        <w:numPr>
          <w:ilvl w:val="0"/>
          <w:numId w:val="1"/>
        </w:numPr>
        <w:jc w:val="both"/>
        <w:rPr>
          <w:rFonts w:asciiTheme="majorHAnsi" w:hAnsiTheme="majorHAnsi" w:cstheme="majorHAnsi"/>
          <w:spacing w:val="-10"/>
        </w:rPr>
      </w:pPr>
      <w:r w:rsidRPr="001177AA">
        <w:rPr>
          <w:rFonts w:asciiTheme="majorHAnsi" w:hAnsiTheme="majorHAnsi" w:cstheme="majorHAnsi"/>
          <w:spacing w:val="-10"/>
        </w:rPr>
        <w:lastRenderedPageBreak/>
        <w:t xml:space="preserve">Currently there is no consensus regarding on going screening after successful treatment patients at risk due to viral hepatitis. Long term suppression of hepatitis B viral load is associated with improvement in liver fibrosis and approximately an 80% reduction in the risk of HCC.  Improvements have also been reported with directly acting antiviral agents in hepatitis C, although the estimate of long-term benefit is currently less clear. In the absence of clear data or national guidance, patients in these groups should be informed of the impact of treatment on their cancer risk so the patient may be fully involved in joint decision making whether to continue or cease surveillance.   </w:t>
      </w:r>
    </w:p>
    <w:p w14:paraId="30F7F494" w14:textId="77777777" w:rsidR="007E104B" w:rsidRPr="001177AA" w:rsidRDefault="007E104B" w:rsidP="001177AA">
      <w:pPr>
        <w:pStyle w:val="ListParagraph"/>
        <w:jc w:val="both"/>
        <w:rPr>
          <w:rFonts w:asciiTheme="majorHAnsi" w:hAnsiTheme="majorHAnsi" w:cstheme="majorHAnsi"/>
          <w:spacing w:val="-10"/>
        </w:rPr>
      </w:pPr>
    </w:p>
    <w:p w14:paraId="336EA6BC" w14:textId="77777777" w:rsidR="007E104B" w:rsidRPr="001177AA" w:rsidRDefault="007E104B" w:rsidP="001177AA">
      <w:pPr>
        <w:pStyle w:val="ListParagraph"/>
        <w:numPr>
          <w:ilvl w:val="0"/>
          <w:numId w:val="1"/>
        </w:numPr>
        <w:jc w:val="both"/>
        <w:rPr>
          <w:rFonts w:asciiTheme="majorHAnsi" w:hAnsiTheme="majorHAnsi" w:cstheme="majorHAnsi"/>
          <w:spacing w:val="-10"/>
        </w:rPr>
      </w:pPr>
      <w:r w:rsidRPr="001177AA">
        <w:rPr>
          <w:rFonts w:asciiTheme="majorHAnsi" w:hAnsiTheme="majorHAnsi" w:cstheme="majorHAnsi"/>
          <w:spacing w:val="-10"/>
        </w:rPr>
        <w:t>Where patients are enrolled into HCC surveillance, they should receive verbal and written information prior to enrolment so they may be informed to consent to involvement. This information should include the of the nature of screening, and the best estimate of the benefits of screening (e.g., 10% reduction in tumour mortality and uncertain benefit on all-cause mortality), including its rate of failure. A regional patient information leaflet is currently being developed which may be adapted for local usage.</w:t>
      </w:r>
    </w:p>
    <w:p w14:paraId="36FF5363" w14:textId="77777777" w:rsidR="007E104B" w:rsidRPr="001177AA" w:rsidRDefault="007E104B" w:rsidP="001177AA">
      <w:pPr>
        <w:pStyle w:val="ListParagraph"/>
        <w:jc w:val="both"/>
        <w:rPr>
          <w:rFonts w:asciiTheme="majorHAnsi" w:hAnsiTheme="majorHAnsi" w:cstheme="majorHAnsi"/>
          <w:spacing w:val="-10"/>
        </w:rPr>
      </w:pPr>
    </w:p>
    <w:p w14:paraId="7C2ED5AD" w14:textId="77777777" w:rsidR="007E104B" w:rsidRPr="001177AA" w:rsidRDefault="007E104B" w:rsidP="001177AA">
      <w:pPr>
        <w:pStyle w:val="ListParagraph"/>
        <w:numPr>
          <w:ilvl w:val="0"/>
          <w:numId w:val="1"/>
        </w:numPr>
        <w:jc w:val="both"/>
        <w:rPr>
          <w:rFonts w:asciiTheme="majorHAnsi" w:hAnsiTheme="majorHAnsi" w:cstheme="majorHAnsi"/>
          <w:spacing w:val="-10"/>
        </w:rPr>
      </w:pPr>
      <w:r w:rsidRPr="001177AA">
        <w:rPr>
          <w:rFonts w:asciiTheme="majorHAnsi" w:hAnsiTheme="majorHAnsi" w:cstheme="majorHAnsi"/>
          <w:spacing w:val="-10"/>
        </w:rPr>
        <w:t>All centres offering surveillance should work towards a digital solution for managing their surveillance programme. This should identify when patients are due for their next surveillance, identify patients who fail to attend surveillance so they may be offered support if appropriate to attend and allow audit of the proportion of eligible patients who are offered and participate in surveillance.</w:t>
      </w:r>
    </w:p>
    <w:p w14:paraId="2BC85073" w14:textId="77777777" w:rsidR="007E104B" w:rsidRPr="001177AA" w:rsidRDefault="007E104B" w:rsidP="001177AA">
      <w:pPr>
        <w:pStyle w:val="ListParagraph"/>
        <w:jc w:val="both"/>
        <w:rPr>
          <w:rFonts w:asciiTheme="majorHAnsi" w:hAnsiTheme="majorHAnsi" w:cstheme="majorHAnsi"/>
          <w:spacing w:val="-10"/>
        </w:rPr>
      </w:pPr>
    </w:p>
    <w:p w14:paraId="3EC31655" w14:textId="77777777" w:rsidR="007E104B" w:rsidRPr="001177AA" w:rsidRDefault="007E104B" w:rsidP="001177AA">
      <w:pPr>
        <w:pStyle w:val="ListParagraph"/>
        <w:numPr>
          <w:ilvl w:val="0"/>
          <w:numId w:val="1"/>
        </w:numPr>
        <w:jc w:val="both"/>
        <w:rPr>
          <w:rFonts w:asciiTheme="majorHAnsi" w:hAnsiTheme="majorHAnsi" w:cstheme="majorHAnsi"/>
          <w:spacing w:val="-10"/>
        </w:rPr>
      </w:pPr>
      <w:r w:rsidRPr="001177AA">
        <w:rPr>
          <w:rFonts w:asciiTheme="majorHAnsi" w:hAnsiTheme="majorHAnsi" w:cstheme="majorHAnsi"/>
          <w:spacing w:val="-10"/>
        </w:rPr>
        <w:t>Exclusion criteria: Patients should not be offered surveillance or should be taken off surveillance programmes when their performance status, underlying liver health, comorbidity, or frailty indicate that surveillance will not offer a significant prognostic advantage. Detailed exclusion criteria are given in the box.</w:t>
      </w:r>
    </w:p>
    <w:p w14:paraId="5D3C8A74" w14:textId="77777777" w:rsidR="007E104B" w:rsidRPr="001177AA" w:rsidRDefault="007E104B" w:rsidP="001177AA">
      <w:pPr>
        <w:pStyle w:val="ListParagraph"/>
        <w:jc w:val="both"/>
        <w:rPr>
          <w:rFonts w:asciiTheme="majorHAnsi" w:hAnsiTheme="majorHAnsi" w:cstheme="majorHAnsi"/>
          <w:spacing w:val="-10"/>
        </w:rPr>
      </w:pPr>
    </w:p>
    <w:p w14:paraId="76985A3B" w14:textId="77777777" w:rsidR="007E104B" w:rsidRPr="001177AA" w:rsidRDefault="007E104B" w:rsidP="001177AA">
      <w:pPr>
        <w:pStyle w:val="ListParagraph"/>
        <w:numPr>
          <w:ilvl w:val="0"/>
          <w:numId w:val="1"/>
        </w:numPr>
        <w:jc w:val="both"/>
        <w:rPr>
          <w:rFonts w:asciiTheme="majorHAnsi" w:hAnsiTheme="majorHAnsi" w:cstheme="majorHAnsi"/>
          <w:spacing w:val="-10"/>
        </w:rPr>
      </w:pPr>
      <w:r w:rsidRPr="001177AA">
        <w:rPr>
          <w:rFonts w:asciiTheme="majorHAnsi" w:hAnsiTheme="majorHAnsi" w:cstheme="majorHAnsi"/>
          <w:spacing w:val="-10"/>
        </w:rPr>
        <w:t xml:space="preserve">Where liver lesions are identified on surveillance imaging these should be followed up in accordance with regional or national guidelines. </w:t>
      </w:r>
    </w:p>
    <w:p w14:paraId="4DCA7E52" w14:textId="77777777" w:rsidR="007E104B" w:rsidRPr="001177AA" w:rsidRDefault="007E104B" w:rsidP="001177AA">
      <w:pPr>
        <w:pStyle w:val="ListParagraph"/>
        <w:jc w:val="both"/>
        <w:rPr>
          <w:rFonts w:asciiTheme="majorHAnsi" w:hAnsiTheme="majorHAnsi" w:cstheme="majorHAnsi"/>
          <w:spacing w:val="-10"/>
        </w:rPr>
      </w:pPr>
    </w:p>
    <w:p w14:paraId="6C5CF76A" w14:textId="77777777" w:rsidR="007E104B" w:rsidRPr="001177AA" w:rsidRDefault="007E104B" w:rsidP="001177AA">
      <w:pPr>
        <w:pStyle w:val="ListParagraph"/>
        <w:numPr>
          <w:ilvl w:val="0"/>
          <w:numId w:val="1"/>
        </w:numPr>
        <w:jc w:val="both"/>
        <w:rPr>
          <w:rFonts w:asciiTheme="majorHAnsi" w:hAnsiTheme="majorHAnsi" w:cstheme="majorHAnsi"/>
          <w:spacing w:val="-10"/>
        </w:rPr>
      </w:pPr>
      <w:r w:rsidRPr="001177AA">
        <w:rPr>
          <w:rFonts w:asciiTheme="majorHAnsi" w:hAnsiTheme="majorHAnsi" w:cstheme="majorHAnsi"/>
          <w:spacing w:val="-10"/>
        </w:rPr>
        <w:t xml:space="preserve">Where there is insufficient capacity to undertake surveillance in all at risk groups., those at highest risk should be prioritised and trusts should develop plans to expand capacity to allow inclusion of all at risk patients. </w:t>
      </w:r>
    </w:p>
    <w:p w14:paraId="458C7F5D" w14:textId="77777777" w:rsidR="007E104B" w:rsidRPr="001177AA" w:rsidRDefault="007E104B" w:rsidP="001177AA">
      <w:pPr>
        <w:pStyle w:val="ListParagraph"/>
        <w:jc w:val="both"/>
        <w:rPr>
          <w:rFonts w:asciiTheme="majorHAnsi" w:hAnsiTheme="majorHAnsi" w:cstheme="majorHAnsi"/>
          <w:spacing w:val="-10"/>
        </w:rPr>
      </w:pPr>
    </w:p>
    <w:p w14:paraId="39FEF551" w14:textId="77777777" w:rsidR="007E104B" w:rsidRPr="001177AA" w:rsidRDefault="007E104B" w:rsidP="001177AA">
      <w:pPr>
        <w:pStyle w:val="ListParagraph"/>
        <w:numPr>
          <w:ilvl w:val="0"/>
          <w:numId w:val="1"/>
        </w:numPr>
        <w:jc w:val="both"/>
        <w:rPr>
          <w:rFonts w:asciiTheme="majorHAnsi" w:hAnsiTheme="majorHAnsi" w:cstheme="majorHAnsi"/>
          <w:spacing w:val="-10"/>
        </w:rPr>
      </w:pPr>
      <w:r w:rsidRPr="001177AA">
        <w:rPr>
          <w:rFonts w:asciiTheme="majorHAnsi" w:hAnsiTheme="majorHAnsi" w:cstheme="majorHAnsi"/>
          <w:spacing w:val="-10"/>
        </w:rPr>
        <w:t xml:space="preserve">Guidance may be updated as new evidence or surveillance methods are available. </w:t>
      </w:r>
    </w:p>
    <w:p w14:paraId="0370CB58" w14:textId="77777777" w:rsidR="001177AA" w:rsidRPr="001177AA" w:rsidRDefault="001177AA" w:rsidP="001177AA">
      <w:pPr>
        <w:pStyle w:val="ListParagraph"/>
        <w:jc w:val="both"/>
        <w:rPr>
          <w:rFonts w:asciiTheme="majorHAnsi" w:hAnsiTheme="majorHAnsi" w:cstheme="majorHAnsi"/>
          <w:spacing w:val="-10"/>
          <w:sz w:val="24"/>
          <w:szCs w:val="24"/>
        </w:rPr>
      </w:pPr>
    </w:p>
    <w:p w14:paraId="58132AE4" w14:textId="77777777" w:rsidR="001177AA" w:rsidRDefault="001177AA" w:rsidP="001177AA">
      <w:pPr>
        <w:jc w:val="both"/>
        <w:rPr>
          <w:b/>
          <w:bCs/>
        </w:rPr>
      </w:pPr>
    </w:p>
    <w:p w14:paraId="0C88AB0C" w14:textId="0B31BB3F" w:rsidR="001177AA" w:rsidRPr="001177AA" w:rsidRDefault="001177AA" w:rsidP="001177AA">
      <w:pPr>
        <w:jc w:val="both"/>
        <w:rPr>
          <w:b/>
          <w:bCs/>
          <w:sz w:val="22"/>
          <w:szCs w:val="22"/>
        </w:rPr>
      </w:pPr>
      <w:r w:rsidRPr="001177AA">
        <w:rPr>
          <w:b/>
          <w:bCs/>
          <w:sz w:val="22"/>
          <w:szCs w:val="22"/>
        </w:rPr>
        <w:t>Inclusion criteria</w:t>
      </w:r>
    </w:p>
    <w:p w14:paraId="7216AE58" w14:textId="77777777" w:rsidR="001177AA" w:rsidRPr="001177AA" w:rsidRDefault="001177AA" w:rsidP="001177AA">
      <w:pPr>
        <w:pStyle w:val="ListParagraph"/>
        <w:numPr>
          <w:ilvl w:val="0"/>
          <w:numId w:val="3"/>
        </w:numPr>
        <w:jc w:val="both"/>
        <w:rPr>
          <w:rFonts w:asciiTheme="majorHAnsi" w:hAnsiTheme="majorHAnsi" w:cstheme="majorHAnsi"/>
        </w:rPr>
      </w:pPr>
      <w:r w:rsidRPr="001177AA">
        <w:rPr>
          <w:rFonts w:asciiTheme="majorHAnsi" w:hAnsiTheme="majorHAnsi" w:cstheme="majorHAnsi"/>
        </w:rPr>
        <w:t xml:space="preserve">The risk of HCC is highest in patients with cirrhosis. All patients with cirrhosis of any aetiology should be considered for surveillance provided they do not meet exclusion criteria. The risk of HCC is highest in patients with cirrhosis due to hepatitis B or haemochromatosis. </w:t>
      </w:r>
    </w:p>
    <w:p w14:paraId="6B2B4EA4" w14:textId="77777777" w:rsidR="001177AA" w:rsidRPr="001177AA" w:rsidRDefault="001177AA" w:rsidP="001177AA">
      <w:pPr>
        <w:pStyle w:val="ListParagraph"/>
        <w:jc w:val="both"/>
        <w:rPr>
          <w:rFonts w:asciiTheme="majorHAnsi" w:hAnsiTheme="majorHAnsi" w:cstheme="majorHAnsi"/>
        </w:rPr>
      </w:pPr>
    </w:p>
    <w:p w14:paraId="7774E056" w14:textId="77777777" w:rsidR="001177AA" w:rsidRPr="001177AA" w:rsidRDefault="001177AA" w:rsidP="001177AA">
      <w:pPr>
        <w:pStyle w:val="ListParagraph"/>
        <w:numPr>
          <w:ilvl w:val="0"/>
          <w:numId w:val="3"/>
        </w:numPr>
        <w:jc w:val="both"/>
        <w:rPr>
          <w:rFonts w:asciiTheme="majorHAnsi" w:hAnsiTheme="majorHAnsi" w:cstheme="majorHAnsi"/>
        </w:rPr>
      </w:pPr>
      <w:r w:rsidRPr="001177AA">
        <w:rPr>
          <w:rFonts w:asciiTheme="majorHAnsi" w:hAnsiTheme="majorHAnsi" w:cstheme="majorHAnsi"/>
        </w:rPr>
        <w:t xml:space="preserve">The risk of HCC is also elevated in some non-cirrhotic patients with hepatitis B. As in NICE guidance CG 165 surveillance should also be considered in patients with hepatitis B and: </w:t>
      </w:r>
    </w:p>
    <w:p w14:paraId="59CF3FB2" w14:textId="77777777" w:rsidR="001177AA" w:rsidRPr="001177AA" w:rsidRDefault="001177AA" w:rsidP="001177AA">
      <w:pPr>
        <w:pStyle w:val="ListParagraph"/>
        <w:numPr>
          <w:ilvl w:val="1"/>
          <w:numId w:val="3"/>
        </w:numPr>
        <w:jc w:val="both"/>
        <w:rPr>
          <w:rFonts w:asciiTheme="majorHAnsi" w:hAnsiTheme="majorHAnsi" w:cstheme="majorHAnsi"/>
        </w:rPr>
      </w:pPr>
      <w:r w:rsidRPr="001177AA">
        <w:rPr>
          <w:rFonts w:asciiTheme="majorHAnsi" w:hAnsiTheme="majorHAnsi" w:cstheme="majorHAnsi"/>
        </w:rPr>
        <w:t xml:space="preserve">F2 or greater fibrosis  </w:t>
      </w:r>
    </w:p>
    <w:p w14:paraId="7ECB84A0" w14:textId="77777777" w:rsidR="001177AA" w:rsidRPr="001177AA" w:rsidRDefault="001177AA" w:rsidP="001177AA">
      <w:pPr>
        <w:pStyle w:val="ListParagraph"/>
        <w:numPr>
          <w:ilvl w:val="1"/>
          <w:numId w:val="3"/>
        </w:numPr>
        <w:jc w:val="both"/>
        <w:rPr>
          <w:rFonts w:asciiTheme="majorHAnsi" w:hAnsiTheme="majorHAnsi" w:cstheme="majorHAnsi"/>
        </w:rPr>
      </w:pPr>
      <w:r w:rsidRPr="001177AA">
        <w:rPr>
          <w:rFonts w:asciiTheme="majorHAnsi" w:hAnsiTheme="majorHAnsi" w:cstheme="majorHAnsi"/>
        </w:rPr>
        <w:t xml:space="preserve">Milder than F2 fibrosis if aged over 40 with a family history of HCC and a viral load greater than 20,000iu (although this may be modified by antiviral therapy) </w:t>
      </w:r>
    </w:p>
    <w:p w14:paraId="60ABDCB8" w14:textId="77777777" w:rsidR="001177AA" w:rsidRPr="001177AA" w:rsidRDefault="001177AA" w:rsidP="001177AA">
      <w:pPr>
        <w:pStyle w:val="ListParagraph"/>
        <w:ind w:left="1440"/>
        <w:jc w:val="both"/>
        <w:rPr>
          <w:rFonts w:asciiTheme="majorHAnsi" w:hAnsiTheme="majorHAnsi" w:cstheme="majorHAnsi"/>
        </w:rPr>
      </w:pPr>
    </w:p>
    <w:p w14:paraId="3C3F5C94" w14:textId="77777777" w:rsidR="001177AA" w:rsidRPr="001177AA" w:rsidRDefault="001177AA" w:rsidP="001177AA">
      <w:pPr>
        <w:pStyle w:val="ListParagraph"/>
        <w:numPr>
          <w:ilvl w:val="0"/>
          <w:numId w:val="3"/>
        </w:numPr>
        <w:jc w:val="both"/>
        <w:rPr>
          <w:rFonts w:asciiTheme="majorHAnsi" w:hAnsiTheme="majorHAnsi" w:cstheme="majorHAnsi"/>
        </w:rPr>
      </w:pPr>
      <w:r w:rsidRPr="001177AA">
        <w:rPr>
          <w:rFonts w:asciiTheme="majorHAnsi" w:hAnsiTheme="majorHAnsi" w:cstheme="majorHAnsi"/>
        </w:rPr>
        <w:lastRenderedPageBreak/>
        <w:t>Decisions regarding screening of non-cirrhotic patients with hepatitis B should be joint and taken on an individual level taking into their personal risk factors for tumour development which may include:</w:t>
      </w:r>
    </w:p>
    <w:p w14:paraId="65CF7C85" w14:textId="77777777" w:rsidR="001177AA" w:rsidRPr="001177AA" w:rsidRDefault="001177AA" w:rsidP="001177AA">
      <w:pPr>
        <w:pStyle w:val="ListParagraph"/>
        <w:numPr>
          <w:ilvl w:val="1"/>
          <w:numId w:val="3"/>
        </w:numPr>
        <w:jc w:val="both"/>
        <w:rPr>
          <w:rFonts w:asciiTheme="majorHAnsi" w:hAnsiTheme="majorHAnsi" w:cstheme="majorHAnsi"/>
        </w:rPr>
      </w:pPr>
      <w:r w:rsidRPr="001177AA">
        <w:rPr>
          <w:rFonts w:asciiTheme="majorHAnsi" w:hAnsiTheme="majorHAnsi" w:cstheme="majorHAnsi"/>
        </w:rPr>
        <w:t>Family history of HCC</w:t>
      </w:r>
    </w:p>
    <w:p w14:paraId="63E8E397" w14:textId="77777777" w:rsidR="001177AA" w:rsidRPr="001177AA" w:rsidRDefault="001177AA" w:rsidP="001177AA">
      <w:pPr>
        <w:pStyle w:val="ListParagraph"/>
        <w:numPr>
          <w:ilvl w:val="1"/>
          <w:numId w:val="3"/>
        </w:numPr>
        <w:jc w:val="both"/>
        <w:rPr>
          <w:rFonts w:asciiTheme="majorHAnsi" w:hAnsiTheme="majorHAnsi" w:cstheme="majorHAnsi"/>
        </w:rPr>
      </w:pPr>
      <w:r w:rsidRPr="001177AA">
        <w:rPr>
          <w:rFonts w:asciiTheme="majorHAnsi" w:hAnsiTheme="majorHAnsi" w:cstheme="majorHAnsi"/>
        </w:rPr>
        <w:t>Ethnicity and country of origin</w:t>
      </w:r>
    </w:p>
    <w:p w14:paraId="786FF98F" w14:textId="77777777" w:rsidR="001177AA" w:rsidRPr="001177AA" w:rsidRDefault="001177AA" w:rsidP="001177AA">
      <w:pPr>
        <w:pStyle w:val="ListParagraph"/>
        <w:numPr>
          <w:ilvl w:val="1"/>
          <w:numId w:val="3"/>
        </w:numPr>
        <w:jc w:val="both"/>
        <w:rPr>
          <w:rFonts w:asciiTheme="majorHAnsi" w:hAnsiTheme="majorHAnsi" w:cstheme="majorHAnsi"/>
        </w:rPr>
      </w:pPr>
      <w:r w:rsidRPr="001177AA">
        <w:rPr>
          <w:rFonts w:asciiTheme="majorHAnsi" w:hAnsiTheme="majorHAnsi" w:cstheme="majorHAnsi"/>
        </w:rPr>
        <w:t>Viral load</w:t>
      </w:r>
    </w:p>
    <w:p w14:paraId="7AC5DDC1" w14:textId="77777777" w:rsidR="001177AA" w:rsidRPr="001177AA" w:rsidRDefault="001177AA" w:rsidP="001177AA">
      <w:pPr>
        <w:pStyle w:val="ListParagraph"/>
        <w:numPr>
          <w:ilvl w:val="1"/>
          <w:numId w:val="3"/>
        </w:numPr>
        <w:jc w:val="both"/>
        <w:rPr>
          <w:rFonts w:asciiTheme="majorHAnsi" w:hAnsiTheme="majorHAnsi" w:cstheme="majorHAnsi"/>
        </w:rPr>
      </w:pPr>
      <w:r w:rsidRPr="001177AA">
        <w:rPr>
          <w:rFonts w:asciiTheme="majorHAnsi" w:hAnsiTheme="majorHAnsi" w:cstheme="majorHAnsi"/>
        </w:rPr>
        <w:t xml:space="preserve">Risk factors for other liver disease (for example metabolic syndrome or obesity) </w:t>
      </w:r>
    </w:p>
    <w:p w14:paraId="13D92A3B" w14:textId="77777777" w:rsidR="001177AA" w:rsidRPr="001177AA" w:rsidRDefault="001177AA" w:rsidP="001177AA">
      <w:pPr>
        <w:pStyle w:val="ListParagraph"/>
        <w:numPr>
          <w:ilvl w:val="1"/>
          <w:numId w:val="3"/>
        </w:numPr>
        <w:jc w:val="both"/>
        <w:rPr>
          <w:rFonts w:asciiTheme="majorHAnsi" w:hAnsiTheme="majorHAnsi" w:cstheme="majorHAnsi"/>
        </w:rPr>
      </w:pPr>
      <w:r w:rsidRPr="001177AA">
        <w:rPr>
          <w:rFonts w:asciiTheme="majorHAnsi" w:hAnsiTheme="majorHAnsi" w:cstheme="majorHAnsi"/>
        </w:rPr>
        <w:t xml:space="preserve">Treatment history including length and adequacy of viral load </w:t>
      </w:r>
      <w:proofErr w:type="gramStart"/>
      <w:r w:rsidRPr="001177AA">
        <w:rPr>
          <w:rFonts w:asciiTheme="majorHAnsi" w:hAnsiTheme="majorHAnsi" w:cstheme="majorHAnsi"/>
        </w:rPr>
        <w:t>suppression</w:t>
      </w:r>
      <w:proofErr w:type="gramEnd"/>
    </w:p>
    <w:p w14:paraId="0D35C951" w14:textId="77777777" w:rsidR="001177AA" w:rsidRPr="001177AA" w:rsidRDefault="001177AA" w:rsidP="001177AA">
      <w:pPr>
        <w:pStyle w:val="ListParagraph"/>
        <w:ind w:left="1440"/>
        <w:jc w:val="both"/>
        <w:rPr>
          <w:rFonts w:asciiTheme="majorHAnsi" w:hAnsiTheme="majorHAnsi" w:cstheme="majorHAnsi"/>
        </w:rPr>
      </w:pPr>
      <w:r w:rsidRPr="001177AA">
        <w:rPr>
          <w:rFonts w:asciiTheme="majorHAnsi" w:hAnsiTheme="majorHAnsi" w:cstheme="majorHAnsi"/>
        </w:rPr>
        <w:t xml:space="preserve"> </w:t>
      </w:r>
    </w:p>
    <w:p w14:paraId="1457AD61" w14:textId="77777777" w:rsidR="001177AA" w:rsidRDefault="001177AA" w:rsidP="001177AA">
      <w:pPr>
        <w:pStyle w:val="ListParagraph"/>
        <w:numPr>
          <w:ilvl w:val="0"/>
          <w:numId w:val="3"/>
        </w:numPr>
        <w:jc w:val="both"/>
        <w:rPr>
          <w:rFonts w:asciiTheme="majorHAnsi" w:hAnsiTheme="majorHAnsi" w:cstheme="majorHAnsi"/>
        </w:rPr>
      </w:pPr>
      <w:r w:rsidRPr="001177AA">
        <w:rPr>
          <w:rFonts w:asciiTheme="majorHAnsi" w:hAnsiTheme="majorHAnsi" w:cstheme="majorHAnsi"/>
        </w:rPr>
        <w:t xml:space="preserve">Screening may also be considered for patients with F3 fibrosis due to treated hepatitis C although it is recognised that the cost effectiveness of screening in this group is unclear due to difficulty with maintaining programme follow up and a relatively low risk of development of tumour. </w:t>
      </w:r>
    </w:p>
    <w:p w14:paraId="3A29F636" w14:textId="02A31305" w:rsidR="001177AA" w:rsidRDefault="001177AA" w:rsidP="001177AA">
      <w:pPr>
        <w:jc w:val="both"/>
        <w:rPr>
          <w:rFonts w:asciiTheme="majorHAnsi" w:hAnsiTheme="majorHAnsi" w:cstheme="majorHAnsi"/>
          <w:sz w:val="22"/>
          <w:szCs w:val="22"/>
        </w:rPr>
      </w:pPr>
      <w:r w:rsidRPr="001177AA">
        <w:rPr>
          <w:rFonts w:asciiTheme="majorHAnsi" w:hAnsiTheme="majorHAnsi" w:cstheme="majorHAnsi"/>
          <w:sz w:val="22"/>
          <w:szCs w:val="22"/>
        </w:rPr>
        <w:t xml:space="preserve">It is recognised that there may be insufficient capacity to offer screening to all individuals in these criteria at present, in which case patient with cirrhosis should be prioritised as they are in the highest risk group. </w:t>
      </w:r>
    </w:p>
    <w:p w14:paraId="70522650" w14:textId="77777777" w:rsidR="001177AA" w:rsidRDefault="001177AA" w:rsidP="001177AA">
      <w:pPr>
        <w:rPr>
          <w:b/>
          <w:bCs/>
        </w:rPr>
      </w:pPr>
    </w:p>
    <w:p w14:paraId="6361DF5C" w14:textId="7700AF4D" w:rsidR="001177AA" w:rsidRPr="001177AA" w:rsidRDefault="001177AA" w:rsidP="001177AA">
      <w:pPr>
        <w:jc w:val="both"/>
        <w:rPr>
          <w:b/>
          <w:bCs/>
          <w:sz w:val="22"/>
          <w:szCs w:val="22"/>
        </w:rPr>
      </w:pPr>
      <w:r w:rsidRPr="001177AA">
        <w:rPr>
          <w:b/>
          <w:bCs/>
          <w:sz w:val="22"/>
          <w:szCs w:val="22"/>
        </w:rPr>
        <w:t>Exclusion criteria for surveillance</w:t>
      </w:r>
    </w:p>
    <w:p w14:paraId="126B6A46" w14:textId="1A94C952" w:rsidR="001177AA" w:rsidRPr="001177AA" w:rsidRDefault="001177AA" w:rsidP="001177AA">
      <w:pPr>
        <w:jc w:val="both"/>
        <w:rPr>
          <w:sz w:val="22"/>
          <w:szCs w:val="22"/>
        </w:rPr>
      </w:pPr>
      <w:r w:rsidRPr="001177AA">
        <w:rPr>
          <w:sz w:val="22"/>
          <w:szCs w:val="22"/>
        </w:rPr>
        <w:t>Patients should not be offered surveillance when there have significant other health problems that mean earlier diagnosis of HCC is unlikely to affect their lifespan</w:t>
      </w:r>
      <w:r>
        <w:rPr>
          <w:sz w:val="22"/>
          <w:szCs w:val="22"/>
        </w:rPr>
        <w:t>.</w:t>
      </w:r>
    </w:p>
    <w:p w14:paraId="3DD8BAB3" w14:textId="77777777" w:rsidR="001177AA" w:rsidRPr="001177AA" w:rsidRDefault="001177AA" w:rsidP="001177AA">
      <w:pPr>
        <w:pStyle w:val="ListParagraph"/>
        <w:numPr>
          <w:ilvl w:val="0"/>
          <w:numId w:val="2"/>
        </w:numPr>
        <w:spacing w:before="360"/>
        <w:ind w:hanging="357"/>
        <w:jc w:val="both"/>
      </w:pPr>
      <w:r w:rsidRPr="001177AA">
        <w:t xml:space="preserve">Those with significant frailty or co-morbidity that </w:t>
      </w:r>
    </w:p>
    <w:p w14:paraId="3E7F3281" w14:textId="77777777" w:rsidR="001177AA" w:rsidRPr="001177AA" w:rsidRDefault="001177AA" w:rsidP="001177AA">
      <w:pPr>
        <w:pStyle w:val="ListParagraph"/>
        <w:numPr>
          <w:ilvl w:val="1"/>
          <w:numId w:val="2"/>
        </w:numPr>
        <w:spacing w:before="360"/>
        <w:ind w:hanging="357"/>
        <w:jc w:val="both"/>
      </w:pPr>
      <w:r w:rsidRPr="001177AA">
        <w:t>Significantly limits life expectancy to less than 1-2 years and cannot be remedied by transplantation or other direct therapy,</w:t>
      </w:r>
      <w:proofErr w:type="gramStart"/>
      <w:r w:rsidRPr="001177AA">
        <w:rPr>
          <w:vertAlign w:val="superscript"/>
        </w:rPr>
        <w:t>1</w:t>
      </w:r>
      <w:proofErr w:type="gramEnd"/>
      <w:r w:rsidRPr="001177AA">
        <w:t xml:space="preserve"> </w:t>
      </w:r>
    </w:p>
    <w:p w14:paraId="30C151A9" w14:textId="77777777" w:rsidR="001177AA" w:rsidRPr="001177AA" w:rsidRDefault="001177AA" w:rsidP="001177AA">
      <w:pPr>
        <w:pStyle w:val="ListParagraph"/>
        <w:numPr>
          <w:ilvl w:val="1"/>
          <w:numId w:val="2"/>
        </w:numPr>
        <w:spacing w:before="360"/>
        <w:ind w:hanging="357"/>
        <w:jc w:val="both"/>
      </w:pPr>
      <w:r w:rsidRPr="001177AA">
        <w:t xml:space="preserve">Means patients were not suitable for general anaesthetic </w:t>
      </w:r>
      <w:r w:rsidRPr="001177AA">
        <w:rPr>
          <w:vertAlign w:val="superscript"/>
        </w:rPr>
        <w:t xml:space="preserve">2,3 </w:t>
      </w:r>
    </w:p>
    <w:p w14:paraId="03668F39" w14:textId="77777777" w:rsidR="001177AA" w:rsidRPr="001177AA" w:rsidRDefault="001177AA" w:rsidP="001177AA">
      <w:pPr>
        <w:pStyle w:val="ListParagraph"/>
        <w:numPr>
          <w:ilvl w:val="1"/>
          <w:numId w:val="2"/>
        </w:numPr>
        <w:spacing w:before="360"/>
        <w:ind w:hanging="357"/>
        <w:jc w:val="both"/>
      </w:pPr>
      <w:r w:rsidRPr="001177AA">
        <w:t xml:space="preserve">Means patients were not suitable for future tumour directed treatment. </w:t>
      </w:r>
    </w:p>
    <w:p w14:paraId="1091347C" w14:textId="77777777" w:rsidR="001177AA" w:rsidRPr="001177AA" w:rsidRDefault="001177AA" w:rsidP="001177AA">
      <w:pPr>
        <w:pStyle w:val="ListParagraph"/>
        <w:numPr>
          <w:ilvl w:val="0"/>
          <w:numId w:val="2"/>
        </w:numPr>
        <w:spacing w:before="360"/>
        <w:ind w:hanging="357"/>
        <w:jc w:val="both"/>
      </w:pPr>
      <w:r w:rsidRPr="001177AA">
        <w:t xml:space="preserve">Child Pugh C – not on liver transplant list </w:t>
      </w:r>
      <w:r w:rsidRPr="001177AA">
        <w:rPr>
          <w:vertAlign w:val="superscript"/>
        </w:rPr>
        <w:t>1,2,3</w:t>
      </w:r>
      <w:r w:rsidRPr="001177AA">
        <w:t xml:space="preserve"> </w:t>
      </w:r>
    </w:p>
    <w:p w14:paraId="2D97240F" w14:textId="77777777" w:rsidR="001177AA" w:rsidRPr="001177AA" w:rsidRDefault="001177AA" w:rsidP="001177AA">
      <w:pPr>
        <w:pStyle w:val="ListParagraph"/>
        <w:numPr>
          <w:ilvl w:val="0"/>
          <w:numId w:val="2"/>
        </w:numPr>
        <w:spacing w:before="360"/>
        <w:ind w:hanging="357"/>
        <w:jc w:val="both"/>
      </w:pPr>
      <w:r w:rsidRPr="001177AA">
        <w:t>Child Pugh B liver disease with ascites not suitable for TIPSS or transplantation</w:t>
      </w:r>
      <w:r w:rsidRPr="001177AA">
        <w:rPr>
          <w:vertAlign w:val="superscript"/>
        </w:rPr>
        <w:t xml:space="preserve"> 3 </w:t>
      </w:r>
    </w:p>
    <w:p w14:paraId="1A4F10F8" w14:textId="77777777" w:rsidR="001177AA" w:rsidRPr="001177AA" w:rsidRDefault="001177AA" w:rsidP="001177AA">
      <w:pPr>
        <w:pStyle w:val="ListParagraph"/>
        <w:numPr>
          <w:ilvl w:val="0"/>
          <w:numId w:val="2"/>
        </w:numPr>
        <w:spacing w:before="360"/>
        <w:ind w:hanging="357"/>
        <w:jc w:val="both"/>
      </w:pPr>
      <w:r w:rsidRPr="001177AA">
        <w:t xml:space="preserve">Child Pugh B due to alcohol with continued hazardous alcohol usage </w:t>
      </w:r>
    </w:p>
    <w:p w14:paraId="664AB270" w14:textId="77777777" w:rsidR="001177AA" w:rsidRPr="001177AA" w:rsidRDefault="001177AA" w:rsidP="001177AA">
      <w:pPr>
        <w:pStyle w:val="ListParagraph"/>
        <w:numPr>
          <w:ilvl w:val="0"/>
          <w:numId w:val="2"/>
        </w:numPr>
        <w:spacing w:before="360"/>
        <w:ind w:hanging="357"/>
        <w:jc w:val="both"/>
      </w:pPr>
      <w:r w:rsidRPr="001177AA">
        <w:t xml:space="preserve">Hep C SVR F2 or milder fibrosis </w:t>
      </w:r>
      <w:r w:rsidRPr="001177AA">
        <w:rPr>
          <w:vertAlign w:val="superscript"/>
        </w:rPr>
        <w:t xml:space="preserve">1 </w:t>
      </w:r>
      <w:r w:rsidRPr="001177AA">
        <w:t xml:space="preserve"> </w:t>
      </w:r>
    </w:p>
    <w:p w14:paraId="5AAC634E" w14:textId="77777777" w:rsidR="001177AA" w:rsidRPr="001177AA" w:rsidRDefault="001177AA" w:rsidP="001177AA">
      <w:pPr>
        <w:pStyle w:val="ListParagraph"/>
        <w:numPr>
          <w:ilvl w:val="0"/>
          <w:numId w:val="2"/>
        </w:numPr>
        <w:spacing w:before="360"/>
        <w:ind w:hanging="357"/>
        <w:jc w:val="both"/>
      </w:pPr>
      <w:r w:rsidRPr="001177AA">
        <w:t xml:space="preserve">NAFLD F3 or milder fibrosis </w:t>
      </w:r>
      <w:r w:rsidRPr="001177AA">
        <w:rPr>
          <w:vertAlign w:val="superscript"/>
        </w:rPr>
        <w:t>1</w:t>
      </w:r>
    </w:p>
    <w:p w14:paraId="226A8167" w14:textId="77777777" w:rsidR="001177AA" w:rsidRPr="001177AA" w:rsidRDefault="001177AA" w:rsidP="001177AA">
      <w:pPr>
        <w:pStyle w:val="ListParagraph"/>
        <w:numPr>
          <w:ilvl w:val="0"/>
          <w:numId w:val="2"/>
        </w:numPr>
        <w:spacing w:before="360"/>
        <w:ind w:hanging="357"/>
        <w:jc w:val="both"/>
      </w:pPr>
      <w:r w:rsidRPr="001177AA">
        <w:t xml:space="preserve">Inability to comply with surveillance protocol, despite support to </w:t>
      </w:r>
      <w:proofErr w:type="gramStart"/>
      <w:r w:rsidRPr="001177AA">
        <w:t>attend</w:t>
      </w:r>
      <w:proofErr w:type="gramEnd"/>
      <w:r w:rsidRPr="001177AA">
        <w:t xml:space="preserve"> </w:t>
      </w:r>
    </w:p>
    <w:p w14:paraId="6AF30CA1" w14:textId="77777777" w:rsidR="001177AA" w:rsidRPr="001177AA" w:rsidRDefault="001177AA" w:rsidP="001177AA">
      <w:pPr>
        <w:jc w:val="both"/>
        <w:rPr>
          <w:sz w:val="22"/>
          <w:szCs w:val="22"/>
        </w:rPr>
      </w:pPr>
    </w:p>
    <w:p w14:paraId="09386FE2" w14:textId="77777777" w:rsidR="001177AA" w:rsidRPr="001177AA" w:rsidRDefault="001177AA" w:rsidP="001177AA">
      <w:pPr>
        <w:jc w:val="both"/>
        <w:rPr>
          <w:sz w:val="22"/>
          <w:szCs w:val="22"/>
        </w:rPr>
      </w:pPr>
    </w:p>
    <w:p w14:paraId="5528DA16" w14:textId="77777777" w:rsidR="001177AA" w:rsidRPr="001177AA" w:rsidRDefault="001177AA" w:rsidP="001177AA">
      <w:pPr>
        <w:jc w:val="both"/>
        <w:rPr>
          <w:sz w:val="22"/>
          <w:szCs w:val="22"/>
        </w:rPr>
      </w:pPr>
      <w:r w:rsidRPr="001177AA">
        <w:rPr>
          <w:sz w:val="22"/>
          <w:szCs w:val="22"/>
        </w:rPr>
        <w:t>Source:</w:t>
      </w:r>
      <w:r w:rsidRPr="001177AA">
        <w:rPr>
          <w:sz w:val="22"/>
          <w:szCs w:val="22"/>
        </w:rPr>
        <w:tab/>
        <w:t>1. AALSD guidelines 2023</w:t>
      </w:r>
    </w:p>
    <w:p w14:paraId="1B43658C" w14:textId="77777777" w:rsidR="001177AA" w:rsidRPr="001177AA" w:rsidRDefault="001177AA" w:rsidP="001177AA">
      <w:pPr>
        <w:jc w:val="both"/>
        <w:rPr>
          <w:sz w:val="22"/>
          <w:szCs w:val="22"/>
        </w:rPr>
      </w:pPr>
      <w:r w:rsidRPr="001177AA">
        <w:rPr>
          <w:sz w:val="22"/>
          <w:szCs w:val="22"/>
        </w:rPr>
        <w:tab/>
        <w:t>2. EASL guidelines 2018</w:t>
      </w:r>
    </w:p>
    <w:p w14:paraId="039B6063" w14:textId="77777777" w:rsidR="001177AA" w:rsidRPr="001177AA" w:rsidRDefault="001177AA" w:rsidP="001177AA">
      <w:pPr>
        <w:jc w:val="both"/>
        <w:rPr>
          <w:sz w:val="22"/>
          <w:szCs w:val="22"/>
        </w:rPr>
      </w:pPr>
      <w:r w:rsidRPr="001177AA">
        <w:rPr>
          <w:sz w:val="22"/>
          <w:szCs w:val="22"/>
        </w:rPr>
        <w:tab/>
        <w:t xml:space="preserve">3. BSG guidelines 2020 </w:t>
      </w:r>
    </w:p>
    <w:sectPr w:rsidR="001177AA" w:rsidRPr="001177AA" w:rsidSect="00415B0C">
      <w:headerReference w:type="default" r:id="rId7"/>
      <w:footerReference w:type="default" r:id="rId8"/>
      <w:pgSz w:w="11900" w:h="16840"/>
      <w:pgMar w:top="1134" w:right="964" w:bottom="1418" w:left="96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5445" w14:textId="77777777" w:rsidR="007E104B" w:rsidRDefault="007E104B" w:rsidP="008D2025">
      <w:pPr>
        <w:spacing w:after="0" w:line="240" w:lineRule="auto"/>
      </w:pPr>
      <w:r>
        <w:separator/>
      </w:r>
    </w:p>
  </w:endnote>
  <w:endnote w:type="continuationSeparator" w:id="0">
    <w:p w14:paraId="112E778F" w14:textId="77777777" w:rsidR="007E104B" w:rsidRDefault="007E104B" w:rsidP="008D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Calibri"/>
    <w:charset w:val="4D"/>
    <w:family w:val="swiss"/>
    <w:pitch w:val="variable"/>
    <w:sig w:usb0="A000006F" w:usb1="4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FD10" w14:textId="77777777" w:rsidR="002F76DE" w:rsidRPr="00415B0C" w:rsidRDefault="00415B0C">
    <w:pPr>
      <w:pStyle w:val="Footer"/>
      <w:rPr>
        <w:b/>
        <w:bCs/>
      </w:rPr>
    </w:pPr>
    <w:r>
      <w:rPr>
        <w:noProof/>
      </w:rPr>
      <w:drawing>
        <wp:anchor distT="0" distB="0" distL="114300" distR="114300" simplePos="0" relativeHeight="251670528" behindDoc="1" locked="0" layoutInCell="1" allowOverlap="1" wp14:anchorId="31E0A1AB" wp14:editId="11A6DEFC">
          <wp:simplePos x="0" y="0"/>
          <wp:positionH relativeFrom="column">
            <wp:posOffset>-870585</wp:posOffset>
          </wp:positionH>
          <wp:positionV relativeFrom="paragraph">
            <wp:posOffset>-506730</wp:posOffset>
          </wp:positionV>
          <wp:extent cx="2675890" cy="9677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b="46471"/>
                  <a:stretch/>
                </pic:blipFill>
                <pic:spPr bwMode="auto">
                  <a:xfrm>
                    <a:off x="0" y="0"/>
                    <a:ext cx="2675890" cy="967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49C5366C" wp14:editId="2DC5B503">
          <wp:simplePos x="0" y="0"/>
          <wp:positionH relativeFrom="column">
            <wp:posOffset>3678555</wp:posOffset>
          </wp:positionH>
          <wp:positionV relativeFrom="paragraph">
            <wp:posOffset>-2232660</wp:posOffset>
          </wp:positionV>
          <wp:extent cx="3276600" cy="303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3276600" cy="3035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4A4A" w14:textId="77777777" w:rsidR="007E104B" w:rsidRDefault="007E104B" w:rsidP="008D2025">
      <w:pPr>
        <w:spacing w:after="0" w:line="240" w:lineRule="auto"/>
      </w:pPr>
      <w:r>
        <w:separator/>
      </w:r>
    </w:p>
  </w:footnote>
  <w:footnote w:type="continuationSeparator" w:id="0">
    <w:p w14:paraId="21A408B9" w14:textId="77777777" w:rsidR="007E104B" w:rsidRDefault="007E104B" w:rsidP="008D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763F" w14:textId="77777777" w:rsidR="00836517" w:rsidRDefault="00836517">
    <w:pPr>
      <w:pStyle w:val="Header"/>
    </w:pPr>
    <w:r>
      <w:rPr>
        <w:noProof/>
      </w:rPr>
      <w:drawing>
        <wp:anchor distT="0" distB="0" distL="114300" distR="114300" simplePos="0" relativeHeight="251667456" behindDoc="0" locked="0" layoutInCell="1" allowOverlap="1" wp14:anchorId="779D5B69" wp14:editId="6AC8BBFC">
          <wp:simplePos x="0" y="0"/>
          <wp:positionH relativeFrom="column">
            <wp:posOffset>3883660</wp:posOffset>
          </wp:positionH>
          <wp:positionV relativeFrom="paragraph">
            <wp:posOffset>1905</wp:posOffset>
          </wp:positionV>
          <wp:extent cx="3024000" cy="1522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24000" cy="15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66E0D"/>
    <w:multiLevelType w:val="hybridMultilevel"/>
    <w:tmpl w:val="D108E0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C692ABA"/>
    <w:multiLevelType w:val="hybridMultilevel"/>
    <w:tmpl w:val="97AAE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ED1B4E"/>
    <w:multiLevelType w:val="hybridMultilevel"/>
    <w:tmpl w:val="73E47D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43179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9985057">
    <w:abstractNumId w:val="1"/>
  </w:num>
  <w:num w:numId="3" w16cid:durableId="1884514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4B"/>
    <w:rsid w:val="001177AA"/>
    <w:rsid w:val="001C78F1"/>
    <w:rsid w:val="001D24D6"/>
    <w:rsid w:val="001F3E9B"/>
    <w:rsid w:val="002151CB"/>
    <w:rsid w:val="00226E0F"/>
    <w:rsid w:val="002B2008"/>
    <w:rsid w:val="002F76DE"/>
    <w:rsid w:val="003F3144"/>
    <w:rsid w:val="00415B0C"/>
    <w:rsid w:val="00453A2B"/>
    <w:rsid w:val="00491A01"/>
    <w:rsid w:val="005F550A"/>
    <w:rsid w:val="00723AB9"/>
    <w:rsid w:val="00734B49"/>
    <w:rsid w:val="007636C8"/>
    <w:rsid w:val="00773431"/>
    <w:rsid w:val="007D4F9B"/>
    <w:rsid w:val="007E104B"/>
    <w:rsid w:val="00836517"/>
    <w:rsid w:val="00850698"/>
    <w:rsid w:val="008D2025"/>
    <w:rsid w:val="008F0501"/>
    <w:rsid w:val="009918B9"/>
    <w:rsid w:val="00A524A2"/>
    <w:rsid w:val="00A53660"/>
    <w:rsid w:val="00A7062F"/>
    <w:rsid w:val="00AD20C9"/>
    <w:rsid w:val="00AE2195"/>
    <w:rsid w:val="00B14C27"/>
    <w:rsid w:val="00B542C6"/>
    <w:rsid w:val="00B6534E"/>
    <w:rsid w:val="00C5599D"/>
    <w:rsid w:val="00D05D86"/>
    <w:rsid w:val="00DB3D15"/>
    <w:rsid w:val="00DD3A3A"/>
    <w:rsid w:val="00E30349"/>
    <w:rsid w:val="00E511D9"/>
    <w:rsid w:val="00E6387C"/>
    <w:rsid w:val="00E64F8D"/>
    <w:rsid w:val="00F7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3B174"/>
  <w15:chartTrackingRefBased/>
  <w15:docId w15:val="{B3C0BCF0-3B8C-470E-B06A-367F1F2B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pacing w:val="-10"/>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8F1"/>
    <w:pPr>
      <w:spacing w:after="200" w:line="280" w:lineRule="exact"/>
    </w:pPr>
    <w:rPr>
      <w:rFonts w:ascii="Arial" w:hAnsi="Arial"/>
      <w:sz w:val="24"/>
    </w:rPr>
  </w:style>
  <w:style w:type="paragraph" w:styleId="Heading1">
    <w:name w:val="heading 1"/>
    <w:basedOn w:val="Normal"/>
    <w:next w:val="Normal"/>
    <w:link w:val="Heading1Char"/>
    <w:uiPriority w:val="9"/>
    <w:qFormat/>
    <w:rsid w:val="00C5599D"/>
    <w:pPr>
      <w:keepNext/>
      <w:keepLines/>
      <w:spacing w:before="240" w:after="360" w:line="240" w:lineRule="auto"/>
      <w:outlineLvl w:val="0"/>
    </w:pPr>
    <w:rPr>
      <w:rFonts w:eastAsiaTheme="majorEastAsia" w:cstheme="majorBidi"/>
      <w:b/>
      <w:color w:val="005EB8"/>
      <w:sz w:val="60"/>
      <w:szCs w:val="32"/>
    </w:rPr>
  </w:style>
  <w:style w:type="paragraph" w:styleId="Heading2">
    <w:name w:val="heading 2"/>
    <w:basedOn w:val="Normal"/>
    <w:next w:val="Normal"/>
    <w:link w:val="Heading2Char"/>
    <w:uiPriority w:val="9"/>
    <w:unhideWhenUsed/>
    <w:qFormat/>
    <w:rsid w:val="00B14C27"/>
    <w:pPr>
      <w:keepNext/>
      <w:keepLines/>
      <w:spacing w:before="240" w:after="240" w:line="240" w:lineRule="auto"/>
      <w:outlineLvl w:val="1"/>
    </w:pPr>
    <w:rPr>
      <w:rFonts w:eastAsiaTheme="majorEastAsia" w:cstheme="majorBidi"/>
      <w:b/>
      <w:color w:val="005EB8"/>
      <w:sz w:val="44"/>
      <w:szCs w:val="26"/>
    </w:rPr>
  </w:style>
  <w:style w:type="paragraph" w:styleId="Heading3">
    <w:name w:val="heading 3"/>
    <w:basedOn w:val="Normal"/>
    <w:next w:val="Normal"/>
    <w:link w:val="Heading3Char"/>
    <w:uiPriority w:val="9"/>
    <w:unhideWhenUsed/>
    <w:qFormat/>
    <w:rsid w:val="00B14C27"/>
    <w:pPr>
      <w:keepNext/>
      <w:keepLines/>
      <w:spacing w:before="120" w:after="240" w:line="240" w:lineRule="auto"/>
      <w:outlineLvl w:val="2"/>
    </w:pPr>
    <w:rPr>
      <w:rFonts w:asciiTheme="majorHAnsi" w:eastAsiaTheme="majorEastAsia" w:hAnsiTheme="majorHAnsi" w:cstheme="majorBidi"/>
      <w:color w:val="005EB8"/>
      <w:sz w:val="36"/>
    </w:rPr>
  </w:style>
  <w:style w:type="paragraph" w:styleId="Heading4">
    <w:name w:val="heading 4"/>
    <w:basedOn w:val="Normal"/>
    <w:next w:val="Normal"/>
    <w:link w:val="Heading4Char"/>
    <w:uiPriority w:val="9"/>
    <w:unhideWhenUsed/>
    <w:qFormat/>
    <w:rsid w:val="00B14C27"/>
    <w:pPr>
      <w:keepNext/>
      <w:keepLines/>
      <w:spacing w:before="120" w:after="0" w:line="320" w:lineRule="exact"/>
      <w:outlineLvl w:val="3"/>
    </w:pPr>
    <w:rPr>
      <w:rFonts w:asciiTheme="majorHAnsi" w:eastAsiaTheme="majorEastAsia" w:hAnsiTheme="majorHAnsi" w:cstheme="majorBidi"/>
      <w:iCs/>
      <w:color w:val="005EB8"/>
    </w:rPr>
  </w:style>
  <w:style w:type="paragraph" w:styleId="Heading5">
    <w:name w:val="heading 5"/>
    <w:basedOn w:val="Normal"/>
    <w:next w:val="Normal"/>
    <w:link w:val="Heading5Char"/>
    <w:uiPriority w:val="9"/>
    <w:semiHidden/>
    <w:unhideWhenUsed/>
    <w:rsid w:val="00B14C27"/>
    <w:pPr>
      <w:keepNext/>
      <w:keepLines/>
      <w:spacing w:before="40" w:after="0"/>
      <w:outlineLvl w:val="4"/>
    </w:pPr>
    <w:rPr>
      <w:rFonts w:asciiTheme="majorHAnsi" w:eastAsiaTheme="majorEastAsia" w:hAnsiTheme="majorHAnsi" w:cstheme="majorBidi"/>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99D"/>
    <w:rPr>
      <w:rFonts w:ascii="Arial" w:eastAsiaTheme="majorEastAsia" w:hAnsi="Arial" w:cstheme="majorBidi"/>
      <w:b/>
      <w:color w:val="005EB8"/>
      <w:sz w:val="60"/>
      <w:szCs w:val="32"/>
    </w:rPr>
  </w:style>
  <w:style w:type="character" w:customStyle="1" w:styleId="Heading2Char">
    <w:name w:val="Heading 2 Char"/>
    <w:basedOn w:val="DefaultParagraphFont"/>
    <w:link w:val="Heading2"/>
    <w:uiPriority w:val="9"/>
    <w:rsid w:val="00B14C27"/>
    <w:rPr>
      <w:rFonts w:ascii="Arial" w:eastAsiaTheme="majorEastAsia" w:hAnsi="Arial" w:cstheme="majorBidi"/>
      <w:b/>
      <w:color w:val="005EB8"/>
      <w:sz w:val="44"/>
      <w:szCs w:val="26"/>
    </w:rPr>
  </w:style>
  <w:style w:type="character" w:customStyle="1" w:styleId="Heading3Char">
    <w:name w:val="Heading 3 Char"/>
    <w:basedOn w:val="DefaultParagraphFont"/>
    <w:link w:val="Heading3"/>
    <w:uiPriority w:val="9"/>
    <w:rsid w:val="00B14C27"/>
    <w:rPr>
      <w:rFonts w:asciiTheme="majorHAnsi" w:eastAsiaTheme="majorEastAsia" w:hAnsiTheme="majorHAnsi" w:cstheme="majorBidi"/>
      <w:color w:val="005EB8"/>
      <w:sz w:val="36"/>
    </w:rPr>
  </w:style>
  <w:style w:type="character" w:customStyle="1" w:styleId="Heading4Char">
    <w:name w:val="Heading 4 Char"/>
    <w:basedOn w:val="DefaultParagraphFont"/>
    <w:link w:val="Heading4"/>
    <w:uiPriority w:val="9"/>
    <w:rsid w:val="00B14C27"/>
    <w:rPr>
      <w:rFonts w:asciiTheme="majorHAnsi" w:eastAsiaTheme="majorEastAsia" w:hAnsiTheme="majorHAnsi" w:cstheme="majorBidi"/>
      <w:iCs/>
      <w:color w:val="005EB8"/>
      <w:sz w:val="24"/>
    </w:rPr>
  </w:style>
  <w:style w:type="character" w:customStyle="1" w:styleId="Heading5Char">
    <w:name w:val="Heading 5 Char"/>
    <w:basedOn w:val="DefaultParagraphFont"/>
    <w:link w:val="Heading5"/>
    <w:uiPriority w:val="9"/>
    <w:semiHidden/>
    <w:rsid w:val="00B14C27"/>
    <w:rPr>
      <w:rFonts w:asciiTheme="majorHAnsi" w:eastAsiaTheme="majorEastAsia" w:hAnsiTheme="majorHAnsi" w:cstheme="majorBidi"/>
      <w:color w:val="005EB8"/>
    </w:rPr>
  </w:style>
  <w:style w:type="character" w:styleId="SubtleEmphasis">
    <w:name w:val="Subtle Emphasis"/>
    <w:uiPriority w:val="19"/>
    <w:qFormat/>
    <w:rsid w:val="00B14C27"/>
    <w:rPr>
      <w:rFonts w:cs="Arial"/>
      <w:i/>
      <w:iCs/>
    </w:rPr>
  </w:style>
  <w:style w:type="character" w:styleId="IntenseEmphasis">
    <w:name w:val="Intense Emphasis"/>
    <w:basedOn w:val="DefaultParagraphFont"/>
    <w:uiPriority w:val="21"/>
    <w:qFormat/>
    <w:rsid w:val="00B14C27"/>
    <w:rPr>
      <w:i/>
      <w:iCs/>
      <w:color w:val="005EB8"/>
    </w:rPr>
  </w:style>
  <w:style w:type="character" w:styleId="Strong">
    <w:name w:val="Strong"/>
    <w:basedOn w:val="DefaultParagraphFont"/>
    <w:uiPriority w:val="22"/>
    <w:qFormat/>
    <w:rsid w:val="00B14C27"/>
    <w:rPr>
      <w:b/>
      <w:bCs/>
    </w:rPr>
  </w:style>
  <w:style w:type="paragraph" w:styleId="NoSpacing">
    <w:name w:val="No Spacing"/>
    <w:uiPriority w:val="1"/>
    <w:rsid w:val="00B14C27"/>
    <w:rPr>
      <w:rFonts w:ascii="Arial" w:hAnsi="Arial"/>
    </w:rPr>
  </w:style>
  <w:style w:type="paragraph" w:styleId="Header">
    <w:name w:val="header"/>
    <w:basedOn w:val="Normal"/>
    <w:link w:val="HeaderChar"/>
    <w:uiPriority w:val="99"/>
    <w:unhideWhenUsed/>
    <w:rsid w:val="008D2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25"/>
    <w:rPr>
      <w:rFonts w:ascii="Arial" w:hAnsi="Arial"/>
    </w:rPr>
  </w:style>
  <w:style w:type="paragraph" w:styleId="Footer">
    <w:name w:val="footer"/>
    <w:basedOn w:val="Normal"/>
    <w:link w:val="FooterChar"/>
    <w:uiPriority w:val="99"/>
    <w:unhideWhenUsed/>
    <w:rsid w:val="008D2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25"/>
    <w:rPr>
      <w:rFonts w:ascii="Arial" w:hAnsi="Arial"/>
    </w:rPr>
  </w:style>
  <w:style w:type="paragraph" w:styleId="Title">
    <w:name w:val="Title"/>
    <w:basedOn w:val="Normal"/>
    <w:next w:val="Normal"/>
    <w:link w:val="TitleChar"/>
    <w:uiPriority w:val="10"/>
    <w:qFormat/>
    <w:rsid w:val="00D05D86"/>
    <w:pPr>
      <w:spacing w:after="120" w:line="1240" w:lineRule="exact"/>
      <w:contextualSpacing/>
    </w:pPr>
    <w:rPr>
      <w:rFonts w:eastAsiaTheme="majorEastAsia" w:cstheme="majorBidi"/>
      <w:b/>
      <w:color w:val="005EB8"/>
      <w:kern w:val="28"/>
      <w:sz w:val="80"/>
      <w:szCs w:val="56"/>
    </w:rPr>
  </w:style>
  <w:style w:type="character" w:customStyle="1" w:styleId="TitleChar">
    <w:name w:val="Title Char"/>
    <w:basedOn w:val="DefaultParagraphFont"/>
    <w:link w:val="Title"/>
    <w:uiPriority w:val="10"/>
    <w:rsid w:val="00D05D86"/>
    <w:rPr>
      <w:rFonts w:ascii="Arial" w:eastAsiaTheme="majorEastAsia" w:hAnsi="Arial" w:cstheme="majorBidi"/>
      <w:b/>
      <w:color w:val="005EB8"/>
      <w:kern w:val="28"/>
      <w:sz w:val="80"/>
      <w:szCs w:val="56"/>
    </w:rPr>
  </w:style>
  <w:style w:type="paragraph" w:styleId="Subtitle">
    <w:name w:val="Subtitle"/>
    <w:basedOn w:val="Title"/>
    <w:next w:val="Normal"/>
    <w:link w:val="SubtitleChar"/>
    <w:uiPriority w:val="11"/>
    <w:qFormat/>
    <w:rsid w:val="00A524A2"/>
    <w:pPr>
      <w:spacing w:after="0" w:line="520" w:lineRule="exact"/>
    </w:pPr>
    <w:rPr>
      <w:b w:val="0"/>
      <w:bCs/>
      <w:sz w:val="48"/>
      <w:szCs w:val="48"/>
    </w:rPr>
  </w:style>
  <w:style w:type="character" w:customStyle="1" w:styleId="SubtitleChar">
    <w:name w:val="Subtitle Char"/>
    <w:basedOn w:val="DefaultParagraphFont"/>
    <w:link w:val="Subtitle"/>
    <w:uiPriority w:val="11"/>
    <w:rsid w:val="00A524A2"/>
    <w:rPr>
      <w:rFonts w:ascii="Arial" w:eastAsiaTheme="majorEastAsia" w:hAnsi="Arial" w:cstheme="majorBidi"/>
      <w:bCs/>
      <w:color w:val="005EB8"/>
      <w:kern w:val="28"/>
      <w:sz w:val="48"/>
      <w:szCs w:val="48"/>
    </w:rPr>
  </w:style>
  <w:style w:type="character" w:styleId="Hyperlink">
    <w:name w:val="Hyperlink"/>
    <w:basedOn w:val="DefaultParagraphFont"/>
    <w:uiPriority w:val="99"/>
    <w:unhideWhenUsed/>
    <w:rsid w:val="00734B49"/>
    <w:rPr>
      <w:color w:val="C94A8F" w:themeColor="hyperlink"/>
      <w:u w:val="single"/>
    </w:rPr>
  </w:style>
  <w:style w:type="character" w:styleId="UnresolvedMention">
    <w:name w:val="Unresolved Mention"/>
    <w:basedOn w:val="DefaultParagraphFont"/>
    <w:uiPriority w:val="99"/>
    <w:semiHidden/>
    <w:unhideWhenUsed/>
    <w:rsid w:val="00734B49"/>
    <w:rPr>
      <w:color w:val="605E5C"/>
      <w:shd w:val="clear" w:color="auto" w:fill="E1DFDD"/>
    </w:rPr>
  </w:style>
  <w:style w:type="character" w:styleId="FollowedHyperlink">
    <w:name w:val="FollowedHyperlink"/>
    <w:basedOn w:val="DefaultParagraphFont"/>
    <w:uiPriority w:val="99"/>
    <w:semiHidden/>
    <w:unhideWhenUsed/>
    <w:rsid w:val="00734B49"/>
    <w:rPr>
      <w:color w:val="0D87A1" w:themeColor="followedHyperlink"/>
      <w:u w:val="single"/>
    </w:rPr>
  </w:style>
  <w:style w:type="paragraph" w:styleId="ListParagraph">
    <w:name w:val="List Paragraph"/>
    <w:basedOn w:val="Normal"/>
    <w:uiPriority w:val="34"/>
    <w:qFormat/>
    <w:rsid w:val="007E104B"/>
    <w:pPr>
      <w:spacing w:after="160" w:line="256" w:lineRule="auto"/>
      <w:ind w:left="720"/>
      <w:contextualSpacing/>
    </w:pPr>
    <w:rPr>
      <w:rFonts w:asciiTheme="minorHAnsi" w:hAnsiTheme="minorHAnsi" w:cstheme="minorBidi"/>
      <w:spacing w:val="0"/>
      <w:sz w:val="22"/>
      <w:szCs w:val="22"/>
    </w:rPr>
  </w:style>
  <w:style w:type="table" w:styleId="TableGrid">
    <w:name w:val="Table Grid"/>
    <w:basedOn w:val="TableNormal"/>
    <w:uiPriority w:val="39"/>
    <w:rsid w:val="0011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47%20TEMPLATES\2023%20GMC%20Blank%20Word%20Template%201.dotx" TargetMode="External"/></Relationships>
</file>

<file path=word/theme/theme1.xml><?xml version="1.0" encoding="utf-8"?>
<a:theme xmlns:a="http://schemas.openxmlformats.org/drawingml/2006/main" name="GM Cancer">
  <a:themeElements>
    <a:clrScheme name="GM Cancer Theme">
      <a:dk1>
        <a:sysClr val="windowText" lastClr="000000"/>
      </a:dk1>
      <a:lt1>
        <a:sysClr val="window" lastClr="FFFFFF"/>
      </a:lt1>
      <a:dk2>
        <a:srgbClr val="003087"/>
      </a:dk2>
      <a:lt2>
        <a:srgbClr val="FFFFFF"/>
      </a:lt2>
      <a:accent1>
        <a:srgbClr val="005EB8"/>
      </a:accent1>
      <a:accent2>
        <a:srgbClr val="003087"/>
      </a:accent2>
      <a:accent3>
        <a:srgbClr val="AE2573"/>
      </a:accent3>
      <a:accent4>
        <a:srgbClr val="C94A8F"/>
      </a:accent4>
      <a:accent5>
        <a:srgbClr val="0D87A1"/>
      </a:accent5>
      <a:accent6>
        <a:srgbClr val="AACF33"/>
      </a:accent6>
      <a:hlink>
        <a:srgbClr val="C94A8F"/>
      </a:hlink>
      <a:folHlink>
        <a:srgbClr val="0D87A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 GMC Blank Word Template 1</Template>
  <TotalTime>228</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Sophie (RBV) NHS Christie Tr</dc:creator>
  <cp:keywords/>
  <dc:description/>
  <cp:lastModifiedBy>WALKER, Sophie (THE CHRISTIE NHS FOUNDATION TRUST)</cp:lastModifiedBy>
  <cp:revision>2</cp:revision>
  <dcterms:created xsi:type="dcterms:W3CDTF">2024-05-20T10:58:00Z</dcterms:created>
  <dcterms:modified xsi:type="dcterms:W3CDTF">2024-06-11T09:29:00Z</dcterms:modified>
</cp:coreProperties>
</file>