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5D74" w14:textId="1B199DAC" w:rsidR="003B44A4" w:rsidRDefault="006970FB" w:rsidP="00FE097D">
      <w:pPr>
        <w:jc w:val="center"/>
        <w:rPr>
          <w:rFonts w:asciiTheme="majorHAnsi" w:hAnsiTheme="majorHAnsi"/>
          <w:b/>
          <w:sz w:val="32"/>
        </w:rPr>
      </w:pPr>
      <w:bookmarkStart w:id="0" w:name="_GoBack"/>
      <w:bookmarkEnd w:id="0"/>
      <w:r w:rsidRPr="006970FB">
        <w:rPr>
          <w:rFonts w:ascii="Calibri" w:eastAsia="MS Mincho" w:hAnsi="Calibri" w:cs="Times New Roman"/>
          <w:noProof/>
        </w:rPr>
        <w:drawing>
          <wp:anchor distT="0" distB="0" distL="114300" distR="114300" simplePos="0" relativeHeight="251655168" behindDoc="0" locked="0" layoutInCell="1" allowOverlap="1" wp14:anchorId="4575D381" wp14:editId="543FCB49">
            <wp:simplePos x="0" y="0"/>
            <wp:positionH relativeFrom="column">
              <wp:posOffset>2454275</wp:posOffset>
            </wp:positionH>
            <wp:positionV relativeFrom="paragraph">
              <wp:posOffset>-1514475</wp:posOffset>
            </wp:positionV>
            <wp:extent cx="1447800" cy="499745"/>
            <wp:effectExtent l="0" t="0" r="0" b="0"/>
            <wp:wrapNone/>
            <wp:docPr id="4" name="Picture 1" descr="cid:image009.png@01D63D84.CDDDF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63D84.CDDDF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A4" w:rsidRPr="00661EB8">
        <w:rPr>
          <w:rFonts w:asciiTheme="majorHAnsi" w:hAnsiTheme="majorHAnsi"/>
          <w:b/>
          <w:sz w:val="32"/>
        </w:rPr>
        <w:t>Guide fo</w:t>
      </w:r>
      <w:r w:rsidR="00FE097D">
        <w:rPr>
          <w:rFonts w:asciiTheme="majorHAnsi" w:hAnsiTheme="majorHAnsi"/>
          <w:b/>
          <w:sz w:val="32"/>
        </w:rPr>
        <w:t>r GPs - Rapid Diagnostic Centre</w:t>
      </w:r>
    </w:p>
    <w:p w14:paraId="747620C2" w14:textId="77777777" w:rsidR="00FE097D" w:rsidRPr="00FE097D" w:rsidRDefault="00FE097D" w:rsidP="00FE097D">
      <w:pPr>
        <w:jc w:val="center"/>
        <w:rPr>
          <w:rFonts w:asciiTheme="majorHAnsi" w:hAnsiTheme="majorHAnsi" w:cstheme="majorHAnsi"/>
          <w:b/>
          <w:sz w:val="28"/>
          <w:szCs w:val="28"/>
        </w:rPr>
      </w:pPr>
      <w:r w:rsidRPr="00FE097D">
        <w:rPr>
          <w:rFonts w:asciiTheme="majorHAnsi" w:hAnsiTheme="majorHAnsi" w:cstheme="majorHAnsi"/>
          <w:b/>
          <w:sz w:val="28"/>
          <w:szCs w:val="28"/>
        </w:rPr>
        <w:t>Non-specific symptoms RDC pathway to exclude cancer</w:t>
      </w:r>
    </w:p>
    <w:p w14:paraId="10D867E8" w14:textId="77777777" w:rsidR="00FE097D" w:rsidRPr="00BB1F78" w:rsidRDefault="00FE097D" w:rsidP="00FE097D">
      <w:pPr>
        <w:spacing w:before="200"/>
        <w:jc w:val="both"/>
        <w:rPr>
          <w:rFonts w:ascii="Calibri" w:hAnsi="Calibri" w:cs="Calibri"/>
        </w:rPr>
      </w:pPr>
      <w:r w:rsidRPr="00BB1F78">
        <w:rPr>
          <w:rFonts w:ascii="Calibri" w:hAnsi="Calibri" w:cs="Calibri"/>
        </w:rPr>
        <w:t xml:space="preserve">Some patients present in Primary Care with worrying non-specific symptoms which the GP or Primary care practioner, may consider cancer as a potential differential diagnosis.  Identifying the best placed urgent referral route for these patients can be challenging.  </w:t>
      </w:r>
    </w:p>
    <w:p w14:paraId="45630A06" w14:textId="0FBEB468" w:rsidR="00FE097D" w:rsidRPr="00BB1F78" w:rsidRDefault="00FE097D" w:rsidP="00FE097D">
      <w:pPr>
        <w:jc w:val="both"/>
        <w:rPr>
          <w:rFonts w:ascii="Calibri" w:eastAsia="Times New Roman" w:hAnsi="Calibri" w:cs="Calibri"/>
          <w:b/>
          <w:color w:val="000000"/>
        </w:rPr>
      </w:pPr>
      <w:r w:rsidRPr="00BB1F78">
        <w:rPr>
          <w:rFonts w:ascii="Calibri" w:eastAsia="Times New Roman" w:hAnsi="Calibri" w:cs="Calibri"/>
          <w:color w:val="000000"/>
        </w:rPr>
        <w:t>Your GP practice</w:t>
      </w:r>
      <w:r w:rsidR="00C70290" w:rsidRPr="00BB1F78">
        <w:rPr>
          <w:rFonts w:ascii="Calibri" w:eastAsia="Times New Roman" w:hAnsi="Calibri" w:cs="Calibri"/>
          <w:color w:val="000000"/>
        </w:rPr>
        <w:t xml:space="preserve"> is included in the Northern Care Alliance dedicated Rapid Diagnostic </w:t>
      </w:r>
      <w:r w:rsidR="002A742A">
        <w:rPr>
          <w:rFonts w:ascii="Calibri" w:eastAsia="Times New Roman" w:hAnsi="Calibri" w:cs="Calibri"/>
          <w:color w:val="000000"/>
        </w:rPr>
        <w:t xml:space="preserve">Centre </w:t>
      </w:r>
      <w:r w:rsidR="00C70290" w:rsidRPr="00BB1F78">
        <w:rPr>
          <w:rFonts w:ascii="Calibri" w:eastAsia="Times New Roman" w:hAnsi="Calibri" w:cs="Calibri"/>
          <w:color w:val="000000"/>
        </w:rPr>
        <w:t>(RDC) Non</w:t>
      </w:r>
      <w:r w:rsidRPr="00BB1F78">
        <w:rPr>
          <w:rFonts w:ascii="Calibri" w:eastAsia="Times New Roman" w:hAnsi="Calibri" w:cs="Calibri"/>
          <w:color w:val="000000"/>
        </w:rPr>
        <w:t>–specific symptoms pathway for patients presenting with non- specific /vague symptoms where cancer is a possibility</w:t>
      </w:r>
      <w:r w:rsidRPr="00BB1F78">
        <w:rPr>
          <w:rFonts w:ascii="Calibri" w:eastAsia="Times New Roman" w:hAnsi="Calibri" w:cs="Calibri"/>
          <w:b/>
          <w:color w:val="000000"/>
        </w:rPr>
        <w:t>.</w:t>
      </w:r>
    </w:p>
    <w:p w14:paraId="01F9762A" w14:textId="1CAAFB92" w:rsidR="003B44A4" w:rsidRPr="00965501" w:rsidRDefault="003B44A4" w:rsidP="00965501">
      <w:pPr>
        <w:rPr>
          <w:rFonts w:asciiTheme="majorHAnsi" w:hAnsiTheme="majorHAnsi"/>
        </w:rPr>
      </w:pPr>
      <w:r w:rsidRPr="00965501">
        <w:rPr>
          <w:rFonts w:asciiTheme="majorHAnsi" w:hAnsiTheme="majorHAnsi"/>
        </w:rPr>
        <w:t>The pathway has 2 mandatory steps:</w:t>
      </w:r>
    </w:p>
    <w:p w14:paraId="5A36E5B9" w14:textId="77777777" w:rsidR="003B44A4" w:rsidRPr="00BB1F78" w:rsidRDefault="003B44A4" w:rsidP="00142357">
      <w:pPr>
        <w:pStyle w:val="ListParagraph"/>
        <w:numPr>
          <w:ilvl w:val="0"/>
          <w:numId w:val="6"/>
        </w:numPr>
        <w:spacing w:after="120" w:line="259" w:lineRule="auto"/>
        <w:ind w:left="357" w:hanging="357"/>
        <w:rPr>
          <w:rFonts w:asciiTheme="majorHAnsi" w:hAnsiTheme="majorHAnsi" w:cstheme="majorHAnsi"/>
          <w:b/>
          <w:u w:val="single"/>
        </w:rPr>
      </w:pPr>
      <w:r w:rsidRPr="00BB1F78">
        <w:rPr>
          <w:rFonts w:asciiTheme="majorHAnsi" w:hAnsiTheme="majorHAnsi" w:cstheme="majorHAnsi"/>
          <w:b/>
        </w:rPr>
        <w:t>Primary Care based urgent investigations</w:t>
      </w:r>
    </w:p>
    <w:p w14:paraId="5C004AAA" w14:textId="561532A4" w:rsidR="00BB1F78" w:rsidRPr="00BB1F78" w:rsidRDefault="003B44A4" w:rsidP="00BB1F78">
      <w:pPr>
        <w:rPr>
          <w:rFonts w:asciiTheme="majorHAnsi" w:hAnsiTheme="majorHAnsi" w:cstheme="majorHAnsi"/>
        </w:rPr>
      </w:pPr>
      <w:r w:rsidRPr="00BB1F78">
        <w:rPr>
          <w:rFonts w:asciiTheme="majorHAnsi" w:hAnsiTheme="majorHAnsi" w:cstheme="majorHAnsi"/>
        </w:rPr>
        <w:t xml:space="preserve">In addition to a full clinical assessment and examination, </w:t>
      </w:r>
      <w:r w:rsidR="00704D39" w:rsidRPr="00BB1F78">
        <w:rPr>
          <w:rFonts w:asciiTheme="majorHAnsi" w:hAnsiTheme="majorHAnsi" w:cstheme="majorHAnsi"/>
        </w:rPr>
        <w:t xml:space="preserve">it is </w:t>
      </w:r>
      <w:r w:rsidR="00BB1F78" w:rsidRPr="00BB1F78">
        <w:rPr>
          <w:rFonts w:asciiTheme="majorHAnsi" w:hAnsiTheme="majorHAnsi" w:cstheme="majorHAnsi"/>
          <w:b/>
          <w:u w:val="single"/>
        </w:rPr>
        <w:t>important primary care</w:t>
      </w:r>
      <w:r w:rsidRPr="00BB1F78">
        <w:rPr>
          <w:rFonts w:asciiTheme="majorHAnsi" w:hAnsiTheme="majorHAnsi" w:cstheme="majorHAnsi"/>
          <w:b/>
          <w:u w:val="single"/>
        </w:rPr>
        <w:t xml:space="preserve"> arrange the tests</w:t>
      </w:r>
      <w:r w:rsidRPr="00BB1F78">
        <w:rPr>
          <w:rFonts w:asciiTheme="majorHAnsi" w:hAnsiTheme="majorHAnsi" w:cstheme="majorHAnsi"/>
        </w:rPr>
        <w:t xml:space="preserve"> </w:t>
      </w:r>
      <w:r w:rsidR="00F5757F" w:rsidRPr="00BB1F78">
        <w:rPr>
          <w:rFonts w:asciiTheme="majorHAnsi" w:hAnsiTheme="majorHAnsi" w:cstheme="majorHAnsi"/>
        </w:rPr>
        <w:t xml:space="preserve">below </w:t>
      </w:r>
      <w:r w:rsidRPr="00BB1F78">
        <w:rPr>
          <w:rFonts w:asciiTheme="majorHAnsi" w:hAnsiTheme="majorHAnsi" w:cstheme="majorHAnsi"/>
        </w:rPr>
        <w:t xml:space="preserve">and </w:t>
      </w:r>
      <w:r w:rsidRPr="00BB1F78">
        <w:rPr>
          <w:rFonts w:asciiTheme="majorHAnsi" w:hAnsiTheme="majorHAnsi" w:cstheme="majorHAnsi"/>
          <w:b/>
          <w:u w:val="single"/>
        </w:rPr>
        <w:t>review their results</w:t>
      </w:r>
      <w:r w:rsidRPr="00BB1F78">
        <w:rPr>
          <w:rFonts w:asciiTheme="majorHAnsi" w:hAnsiTheme="majorHAnsi" w:cstheme="majorHAnsi"/>
          <w:u w:val="single"/>
        </w:rPr>
        <w:t xml:space="preserve"> </w:t>
      </w:r>
      <w:r w:rsidRPr="00BB1F78">
        <w:rPr>
          <w:rFonts w:asciiTheme="majorHAnsi" w:hAnsiTheme="majorHAnsi" w:cstheme="majorHAnsi"/>
          <w:b/>
          <w:u w:val="single"/>
        </w:rPr>
        <w:t>before</w:t>
      </w:r>
      <w:r w:rsidR="007F10D4" w:rsidRPr="00BB1F78">
        <w:rPr>
          <w:rFonts w:asciiTheme="majorHAnsi" w:hAnsiTheme="majorHAnsi" w:cstheme="majorHAnsi"/>
        </w:rPr>
        <w:t>*</w:t>
      </w:r>
      <w:r w:rsidR="00F5757F" w:rsidRPr="00BB1F78">
        <w:rPr>
          <w:rFonts w:asciiTheme="majorHAnsi" w:hAnsiTheme="majorHAnsi" w:cstheme="majorHAnsi"/>
        </w:rPr>
        <w:t xml:space="preserve">referring the patient.  </w:t>
      </w:r>
      <w:r w:rsidR="00BB1F78" w:rsidRPr="00BB1F78">
        <w:rPr>
          <w:rFonts w:asciiTheme="majorHAnsi" w:hAnsiTheme="majorHAnsi" w:cstheme="majorHAnsi"/>
          <w:b/>
        </w:rPr>
        <w:t xml:space="preserve">These tests can be selected on T-quest </w:t>
      </w:r>
      <w:r w:rsidR="00BB1F78">
        <w:rPr>
          <w:rFonts w:asciiTheme="majorHAnsi" w:hAnsiTheme="majorHAnsi" w:cstheme="majorHAnsi"/>
          <w:b/>
        </w:rPr>
        <w:t xml:space="preserve"> or ICE </w:t>
      </w:r>
      <w:r w:rsidR="00BB1F78" w:rsidRPr="00BB1F78">
        <w:rPr>
          <w:rFonts w:asciiTheme="majorHAnsi" w:hAnsiTheme="majorHAnsi" w:cstheme="majorHAnsi"/>
          <w:b/>
        </w:rPr>
        <w:t xml:space="preserve">as a group request and the reason for requesting should be indicated as </w:t>
      </w:r>
      <w:r w:rsidR="00BB1F78" w:rsidRPr="00BB1F78">
        <w:rPr>
          <w:rFonts w:asciiTheme="majorHAnsi" w:hAnsiTheme="majorHAnsi" w:cstheme="majorHAnsi"/>
          <w:b/>
          <w:u w:val="single"/>
        </w:rPr>
        <w:t xml:space="preserve">Suspected Cancer. </w:t>
      </w:r>
      <w:r w:rsidR="00BB1F78" w:rsidRPr="00BB1F78">
        <w:rPr>
          <w:rFonts w:asciiTheme="majorHAnsi" w:hAnsiTheme="majorHAnsi" w:cstheme="majorHAnsi"/>
          <w:b/>
        </w:rPr>
        <w:t xml:space="preserve">     </w:t>
      </w:r>
    </w:p>
    <w:p w14:paraId="7B6BCAAF" w14:textId="68FAAE33" w:rsidR="005A1F60" w:rsidRDefault="00FC0E4F" w:rsidP="00965501">
      <w:pPr>
        <w:rPr>
          <w:rFonts w:asciiTheme="majorHAnsi" w:hAnsiTheme="majorHAnsi" w:cstheme="majorHAnsi"/>
        </w:rPr>
      </w:pPr>
      <w:r w:rsidRPr="00BB1F78">
        <w:rPr>
          <w:rFonts w:asciiTheme="majorHAnsi" w:hAnsiTheme="majorHAnsi" w:cstheme="majorHAnsi"/>
        </w:rPr>
        <w:t xml:space="preserve">This is because </w:t>
      </w:r>
      <w:r w:rsidR="00BB1F78" w:rsidRPr="00BB1F78">
        <w:rPr>
          <w:rFonts w:asciiTheme="majorHAnsi" w:hAnsiTheme="majorHAnsi" w:cstheme="majorHAnsi"/>
        </w:rPr>
        <w:t>non-specific</w:t>
      </w:r>
      <w:r w:rsidRPr="00BB1F78">
        <w:rPr>
          <w:rFonts w:asciiTheme="majorHAnsi" w:hAnsiTheme="majorHAnsi" w:cstheme="majorHAnsi"/>
        </w:rPr>
        <w:t xml:space="preserve"> symptoms </w:t>
      </w:r>
      <w:r w:rsidR="00D002CE" w:rsidRPr="00BB1F78">
        <w:rPr>
          <w:rFonts w:asciiTheme="majorHAnsi" w:hAnsiTheme="majorHAnsi" w:cstheme="majorHAnsi"/>
        </w:rPr>
        <w:t xml:space="preserve">by their very nature are not necessarily specific to cancer, and it is important to ensure that patients are referred only where their symptoms are truly “unexplained” and potentially suspicious of cancer. </w:t>
      </w:r>
    </w:p>
    <w:tbl>
      <w:tblPr>
        <w:tblW w:w="9840" w:type="dxa"/>
        <w:shd w:val="clear" w:color="auto" w:fill="FFFFFF"/>
        <w:tblCellMar>
          <w:left w:w="0" w:type="dxa"/>
          <w:right w:w="0" w:type="dxa"/>
        </w:tblCellMar>
        <w:tblLook w:val="04A0" w:firstRow="1" w:lastRow="0" w:firstColumn="1" w:lastColumn="0" w:noHBand="0" w:noVBand="1"/>
      </w:tblPr>
      <w:tblGrid>
        <w:gridCol w:w="3818"/>
        <w:gridCol w:w="6022"/>
      </w:tblGrid>
      <w:tr w:rsidR="005A1F60" w:rsidRPr="00A4602C" w14:paraId="20E82C21" w14:textId="77777777" w:rsidTr="002A742A">
        <w:trPr>
          <w:trHeight w:val="261"/>
        </w:trPr>
        <w:tc>
          <w:tcPr>
            <w:tcW w:w="3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7FD40"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FBC</w:t>
            </w:r>
          </w:p>
        </w:tc>
        <w:tc>
          <w:tcPr>
            <w:tcW w:w="60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BB84F2"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Coeliac screening (to be included if patient has weight loss)</w:t>
            </w:r>
          </w:p>
        </w:tc>
      </w:tr>
      <w:tr w:rsidR="005A1F60" w:rsidRPr="00A4602C" w14:paraId="7F95A3BD" w14:textId="77777777" w:rsidTr="002A742A">
        <w:trPr>
          <w:trHeight w:val="251"/>
        </w:trPr>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F1BD44"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Renal function</w:t>
            </w:r>
          </w:p>
        </w:tc>
        <w:tc>
          <w:tcPr>
            <w:tcW w:w="6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F693ED"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Urinalysis</w:t>
            </w:r>
          </w:p>
        </w:tc>
      </w:tr>
      <w:tr w:rsidR="005A1F60" w:rsidRPr="00A4602C" w14:paraId="32B9AA55" w14:textId="77777777" w:rsidTr="002A742A">
        <w:trPr>
          <w:trHeight w:val="251"/>
        </w:trPr>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B79627"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Liver function</w:t>
            </w:r>
          </w:p>
        </w:tc>
        <w:tc>
          <w:tcPr>
            <w:tcW w:w="6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81FD2"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Thyroid function</w:t>
            </w:r>
          </w:p>
        </w:tc>
      </w:tr>
      <w:tr w:rsidR="005A1F60" w:rsidRPr="00A4602C" w14:paraId="6BDE96A0" w14:textId="77777777" w:rsidTr="002A742A">
        <w:trPr>
          <w:trHeight w:val="481"/>
        </w:trPr>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C86010"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Ferritin</w:t>
            </w:r>
          </w:p>
        </w:tc>
        <w:tc>
          <w:tcPr>
            <w:tcW w:w="6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1A0FD7"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lang w:val="en-US"/>
              </w:rPr>
              <w:t>Glandular fever screen – ​consider in patients under 40  with weight loss and/ or lymphadenopathy​</w:t>
            </w:r>
          </w:p>
        </w:tc>
      </w:tr>
      <w:tr w:rsidR="005A1F60" w:rsidRPr="00A4602C" w14:paraId="2D7C1DF1" w14:textId="77777777" w:rsidTr="002A742A">
        <w:trPr>
          <w:trHeight w:val="251"/>
        </w:trPr>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456B24"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Plasma viscosity/CRP</w:t>
            </w:r>
          </w:p>
        </w:tc>
        <w:tc>
          <w:tcPr>
            <w:tcW w:w="6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C1706"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lang w:val="en-US"/>
              </w:rPr>
              <w:t xml:space="preserve">HIV screen </w:t>
            </w:r>
          </w:p>
        </w:tc>
      </w:tr>
      <w:tr w:rsidR="005A1F60" w:rsidRPr="00A4602C" w14:paraId="3074E29B" w14:textId="77777777" w:rsidTr="002A742A">
        <w:trPr>
          <w:trHeight w:val="251"/>
        </w:trPr>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957B73"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HbA1C</w:t>
            </w:r>
          </w:p>
        </w:tc>
        <w:tc>
          <w:tcPr>
            <w:tcW w:w="6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D9689"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lang w:val="en-US"/>
              </w:rPr>
              <w:t>Myeloma screen (for &gt; 30 only)</w:t>
            </w:r>
          </w:p>
        </w:tc>
      </w:tr>
      <w:tr w:rsidR="005A1F60" w:rsidRPr="00A4602C" w14:paraId="38A801C2" w14:textId="77777777" w:rsidTr="002A742A">
        <w:trPr>
          <w:trHeight w:val="251"/>
        </w:trPr>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26302D"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Calcium/Bone Profile</w:t>
            </w:r>
          </w:p>
        </w:tc>
        <w:tc>
          <w:tcPr>
            <w:tcW w:w="6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12D5FC"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CA125 (female only)</w:t>
            </w:r>
          </w:p>
        </w:tc>
      </w:tr>
      <w:tr w:rsidR="005A1F60" w:rsidRPr="00A4602C" w14:paraId="1435A4A9" w14:textId="77777777" w:rsidTr="002A742A">
        <w:trPr>
          <w:trHeight w:val="379"/>
        </w:trPr>
        <w:tc>
          <w:tcPr>
            <w:tcW w:w="3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5847D2" w14:textId="77777777" w:rsidR="005A1F60" w:rsidRPr="005A1F60" w:rsidRDefault="005A1F60" w:rsidP="00567FAC">
            <w:pPr>
              <w:pStyle w:val="xmsonormal"/>
              <w:spacing w:line="231" w:lineRule="atLeast"/>
              <w:rPr>
                <w:rFonts w:asciiTheme="majorHAnsi" w:hAnsiTheme="majorHAnsi" w:cstheme="majorHAnsi"/>
                <w:color w:val="201F1E"/>
              </w:rPr>
            </w:pPr>
            <w:r w:rsidRPr="005A1F60">
              <w:rPr>
                <w:rFonts w:asciiTheme="majorHAnsi" w:hAnsiTheme="majorHAnsi" w:cstheme="majorHAnsi"/>
                <w:color w:val="201F1E"/>
                <w:lang w:val="en-US"/>
              </w:rPr>
              <w:t>FIT test (where available)</w:t>
            </w:r>
          </w:p>
        </w:tc>
        <w:tc>
          <w:tcPr>
            <w:tcW w:w="6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C7FCAE" w14:textId="77777777" w:rsidR="005A1F60" w:rsidRPr="005A1F60" w:rsidRDefault="005A1F60" w:rsidP="00567FAC">
            <w:pPr>
              <w:pStyle w:val="xmsonormal"/>
              <w:spacing w:after="240" w:line="231" w:lineRule="atLeast"/>
              <w:rPr>
                <w:rFonts w:asciiTheme="majorHAnsi" w:hAnsiTheme="majorHAnsi" w:cstheme="majorHAnsi"/>
                <w:color w:val="201F1E"/>
              </w:rPr>
            </w:pPr>
            <w:r w:rsidRPr="005A1F60">
              <w:rPr>
                <w:rFonts w:asciiTheme="majorHAnsi" w:hAnsiTheme="majorHAnsi" w:cstheme="majorHAnsi"/>
                <w:color w:val="201F1E"/>
                <w:lang w:val="en-US"/>
              </w:rPr>
              <w:t>PSA (male only)</w:t>
            </w:r>
          </w:p>
        </w:tc>
      </w:tr>
    </w:tbl>
    <w:p w14:paraId="1F36D03B" w14:textId="77777777" w:rsidR="005A1F60" w:rsidRDefault="005A1F60" w:rsidP="00965501">
      <w:pPr>
        <w:rPr>
          <w:rFonts w:asciiTheme="majorHAnsi" w:hAnsiTheme="majorHAnsi"/>
        </w:rPr>
      </w:pPr>
    </w:p>
    <w:p w14:paraId="78972715" w14:textId="77777777" w:rsidR="00A4543A" w:rsidRPr="00A4543A" w:rsidRDefault="00A4543A" w:rsidP="00A4543A">
      <w:pPr>
        <w:pBdr>
          <w:top w:val="single" w:sz="4" w:space="1" w:color="auto"/>
          <w:left w:val="single" w:sz="4" w:space="14" w:color="auto"/>
          <w:bottom w:val="single" w:sz="4" w:space="1" w:color="auto"/>
          <w:right w:val="single" w:sz="4" w:space="4" w:color="auto"/>
        </w:pBdr>
        <w:ind w:left="360"/>
        <w:jc w:val="both"/>
        <w:rPr>
          <w:rFonts w:ascii="Calibri" w:hAnsi="Calibri" w:cs="Calibri"/>
        </w:rPr>
      </w:pPr>
      <w:r w:rsidRPr="00A4543A">
        <w:rPr>
          <w:rFonts w:ascii="Calibri" w:hAnsi="Calibri" w:cs="Calibri"/>
          <w:b/>
          <w:u w:val="single"/>
        </w:rPr>
        <w:t>It will be difficult for us to assess your patient without these essential tests being completed and reviewed</w:t>
      </w:r>
      <w:r w:rsidRPr="00A4543A">
        <w:rPr>
          <w:rFonts w:ascii="Calibri" w:hAnsi="Calibri" w:cs="Calibri"/>
        </w:rPr>
        <w:t xml:space="preserve">* in Primary Care first.  Sending a referral without these mandatory tests is likely to result in unnecessary delay of the referral. </w:t>
      </w:r>
    </w:p>
    <w:p w14:paraId="2F4CC8A1" w14:textId="48B2708C" w:rsidR="00A4543A" w:rsidRDefault="00A4543A" w:rsidP="00A4543A">
      <w:pPr>
        <w:pBdr>
          <w:top w:val="single" w:sz="4" w:space="1" w:color="auto"/>
          <w:left w:val="single" w:sz="4" w:space="14" w:color="auto"/>
          <w:bottom w:val="single" w:sz="4" w:space="1" w:color="auto"/>
          <w:right w:val="single" w:sz="4" w:space="4" w:color="auto"/>
        </w:pBdr>
        <w:ind w:left="360"/>
        <w:jc w:val="both"/>
        <w:rPr>
          <w:rFonts w:ascii="Calibri" w:hAnsi="Calibri" w:cs="Calibri"/>
        </w:rPr>
      </w:pPr>
      <w:r w:rsidRPr="00A4543A">
        <w:rPr>
          <w:rFonts w:ascii="Calibri" w:hAnsi="Calibri" w:cs="Calibri"/>
        </w:rPr>
        <w:t>*with the exception of Coeliac screening – this takes 7 days and referral should not be delayed whilst waiting for this result.</w:t>
      </w:r>
    </w:p>
    <w:p w14:paraId="00947EB5" w14:textId="77777777" w:rsidR="00A4543A" w:rsidRPr="00A4543A" w:rsidRDefault="00A4543A" w:rsidP="00A4543A">
      <w:pPr>
        <w:pBdr>
          <w:top w:val="single" w:sz="4" w:space="1" w:color="auto"/>
          <w:left w:val="single" w:sz="4" w:space="14" w:color="auto"/>
          <w:bottom w:val="single" w:sz="4" w:space="1" w:color="auto"/>
          <w:right w:val="single" w:sz="4" w:space="4" w:color="auto"/>
        </w:pBdr>
        <w:ind w:left="360"/>
        <w:jc w:val="both"/>
        <w:rPr>
          <w:rFonts w:ascii="Calibri" w:hAnsi="Calibri" w:cs="Calibri"/>
        </w:rPr>
      </w:pPr>
    </w:p>
    <w:p w14:paraId="756FE0B1" w14:textId="77777777" w:rsidR="002A742A" w:rsidRDefault="002A742A" w:rsidP="00A4543A">
      <w:pPr>
        <w:spacing w:after="160" w:line="259" w:lineRule="auto"/>
        <w:rPr>
          <w:rFonts w:asciiTheme="majorHAnsi" w:hAnsiTheme="majorHAnsi"/>
        </w:rPr>
      </w:pPr>
    </w:p>
    <w:p w14:paraId="7A08FD66" w14:textId="33739D8C" w:rsidR="003B44A4" w:rsidRPr="00A4543A" w:rsidRDefault="00A4543A" w:rsidP="00A4543A">
      <w:pPr>
        <w:spacing w:after="160" w:line="259" w:lineRule="auto"/>
        <w:rPr>
          <w:rFonts w:asciiTheme="majorHAnsi" w:hAnsiTheme="majorHAnsi"/>
          <w:b/>
        </w:rPr>
      </w:pPr>
      <w:r>
        <w:rPr>
          <w:rFonts w:asciiTheme="majorHAnsi" w:hAnsiTheme="majorHAnsi"/>
        </w:rPr>
        <w:lastRenderedPageBreak/>
        <w:t xml:space="preserve">2. </w:t>
      </w:r>
      <w:r w:rsidR="003B44A4" w:rsidRPr="00A4543A">
        <w:rPr>
          <w:rFonts w:asciiTheme="majorHAnsi" w:hAnsiTheme="majorHAnsi"/>
          <w:b/>
        </w:rPr>
        <w:t xml:space="preserve">Referral to </w:t>
      </w:r>
      <w:r w:rsidR="00A20713" w:rsidRPr="00A4543A">
        <w:rPr>
          <w:rFonts w:asciiTheme="majorHAnsi" w:hAnsiTheme="majorHAnsi"/>
          <w:b/>
        </w:rPr>
        <w:t>the</w:t>
      </w:r>
      <w:r w:rsidR="003B44A4" w:rsidRPr="00A4543A">
        <w:rPr>
          <w:rFonts w:asciiTheme="majorHAnsi" w:hAnsiTheme="majorHAnsi"/>
          <w:b/>
        </w:rPr>
        <w:t xml:space="preserve"> </w:t>
      </w:r>
      <w:r w:rsidR="00565EDB" w:rsidRPr="00A4543A">
        <w:rPr>
          <w:rFonts w:asciiTheme="majorHAnsi" w:hAnsiTheme="majorHAnsi"/>
          <w:b/>
        </w:rPr>
        <w:t>RDC</w:t>
      </w:r>
      <w:r w:rsidR="003B44A4" w:rsidRPr="00A4543A">
        <w:rPr>
          <w:rFonts w:asciiTheme="majorHAnsi" w:hAnsiTheme="majorHAnsi"/>
          <w:b/>
        </w:rPr>
        <w:t xml:space="preserve"> </w:t>
      </w:r>
    </w:p>
    <w:p w14:paraId="45EE1D94" w14:textId="6D41FF5F" w:rsidR="00A20713" w:rsidRDefault="006970FB" w:rsidP="00965501">
      <w:pPr>
        <w:rPr>
          <w:rFonts w:asciiTheme="majorHAnsi" w:hAnsiTheme="majorHAnsi"/>
        </w:rPr>
      </w:pPr>
      <w:r w:rsidRPr="006970FB">
        <w:rPr>
          <w:rFonts w:ascii="Calibri" w:eastAsia="MS Mincho" w:hAnsi="Calibri" w:cs="Times New Roman"/>
          <w:noProof/>
        </w:rPr>
        <w:drawing>
          <wp:anchor distT="0" distB="0" distL="114300" distR="114300" simplePos="0" relativeHeight="251656192" behindDoc="0" locked="0" layoutInCell="1" allowOverlap="1" wp14:anchorId="6236A8A6" wp14:editId="49C95402">
            <wp:simplePos x="0" y="0"/>
            <wp:positionH relativeFrom="column">
              <wp:posOffset>2430780</wp:posOffset>
            </wp:positionH>
            <wp:positionV relativeFrom="paragraph">
              <wp:posOffset>-1809750</wp:posOffset>
            </wp:positionV>
            <wp:extent cx="1447800" cy="499745"/>
            <wp:effectExtent l="0" t="0" r="0" b="0"/>
            <wp:wrapNone/>
            <wp:docPr id="5" name="Picture 1" descr="cid:image009.png@01D63D84.CDDDF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63D84.CDDDF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A4" w:rsidRPr="00965501">
        <w:rPr>
          <w:rFonts w:asciiTheme="majorHAnsi" w:hAnsiTheme="majorHAnsi"/>
        </w:rPr>
        <w:t>Please review your patient</w:t>
      </w:r>
      <w:r w:rsidR="00FC0E4F">
        <w:rPr>
          <w:rFonts w:asciiTheme="majorHAnsi" w:hAnsiTheme="majorHAnsi"/>
        </w:rPr>
        <w:t xml:space="preserve">’s results </w:t>
      </w:r>
      <w:r w:rsidR="00A76746">
        <w:rPr>
          <w:rFonts w:asciiTheme="majorHAnsi" w:hAnsiTheme="majorHAnsi"/>
        </w:rPr>
        <w:t>as soon as possible after</w:t>
      </w:r>
      <w:r w:rsidR="003B44A4" w:rsidRPr="00965501">
        <w:rPr>
          <w:rFonts w:asciiTheme="majorHAnsi" w:hAnsiTheme="majorHAnsi"/>
        </w:rPr>
        <w:t xml:space="preserve"> the initial assessment. </w:t>
      </w:r>
      <w:r w:rsidR="00A20713">
        <w:rPr>
          <w:rFonts w:asciiTheme="majorHAnsi" w:hAnsiTheme="majorHAnsi"/>
        </w:rPr>
        <w:t xml:space="preserve"> </w:t>
      </w:r>
      <w:r w:rsidR="003B44A4" w:rsidRPr="00965501">
        <w:rPr>
          <w:rFonts w:asciiTheme="majorHAnsi" w:hAnsiTheme="majorHAnsi"/>
        </w:rPr>
        <w:t xml:space="preserve">If the cause of the patient’s symptoms has </w:t>
      </w:r>
      <w:r w:rsidR="003B44A4" w:rsidRPr="00A20713">
        <w:rPr>
          <w:rFonts w:asciiTheme="majorHAnsi" w:hAnsiTheme="majorHAnsi"/>
        </w:rPr>
        <w:t>not been identified following the above tests</w:t>
      </w:r>
      <w:r w:rsidR="003B44A4" w:rsidRPr="00965501">
        <w:rPr>
          <w:rFonts w:asciiTheme="majorHAnsi" w:hAnsiTheme="majorHAnsi"/>
        </w:rPr>
        <w:t xml:space="preserve"> and the clinical concern remains, refer your patient to the </w:t>
      </w:r>
      <w:r w:rsidR="00F91779">
        <w:rPr>
          <w:rFonts w:asciiTheme="majorHAnsi" w:hAnsiTheme="majorHAnsi"/>
        </w:rPr>
        <w:t>RDC</w:t>
      </w:r>
      <w:r w:rsidR="00A4543A">
        <w:rPr>
          <w:rFonts w:asciiTheme="majorHAnsi" w:hAnsiTheme="majorHAnsi"/>
        </w:rPr>
        <w:t xml:space="preserve"> via the Non- specific symptoms suspected cancer referral form.</w:t>
      </w:r>
    </w:p>
    <w:p w14:paraId="73567B14" w14:textId="4BE87EF8" w:rsidR="00FC0E4F" w:rsidRDefault="003B44A4" w:rsidP="00965501">
      <w:pPr>
        <w:rPr>
          <w:rFonts w:asciiTheme="majorHAnsi" w:hAnsiTheme="majorHAnsi"/>
        </w:rPr>
      </w:pPr>
      <w:r w:rsidRPr="00F91779">
        <w:rPr>
          <w:rFonts w:asciiTheme="majorHAnsi" w:hAnsiTheme="majorHAnsi"/>
          <w:b/>
          <w:u w:val="single"/>
        </w:rPr>
        <w:t>Please state clearly the reason(s) why you think that your patient might have cancer</w:t>
      </w:r>
      <w:r w:rsidR="00FC0E4F">
        <w:rPr>
          <w:rFonts w:asciiTheme="majorHAnsi" w:hAnsiTheme="majorHAnsi"/>
          <w:b/>
          <w:u w:val="single"/>
        </w:rPr>
        <w:t xml:space="preserve"> in the free text box</w:t>
      </w:r>
      <w:r w:rsidRPr="00965501">
        <w:rPr>
          <w:rFonts w:asciiTheme="majorHAnsi" w:hAnsiTheme="majorHAnsi"/>
        </w:rPr>
        <w:t xml:space="preserve">.  </w:t>
      </w:r>
    </w:p>
    <w:p w14:paraId="5AF1836A" w14:textId="4A2A35C2" w:rsidR="003B44A4" w:rsidRPr="00965501" w:rsidRDefault="003B44A4" w:rsidP="00965501">
      <w:pPr>
        <w:rPr>
          <w:rFonts w:asciiTheme="majorHAnsi" w:hAnsiTheme="majorHAnsi"/>
        </w:rPr>
      </w:pPr>
      <w:r w:rsidRPr="00965501">
        <w:rPr>
          <w:rFonts w:asciiTheme="majorHAnsi" w:hAnsiTheme="majorHAnsi"/>
        </w:rPr>
        <w:t>Please include results of any other recent investigations such as ultrasound, CT/MRI, gastroscopy etc.</w:t>
      </w:r>
    </w:p>
    <w:p w14:paraId="0E40F59D" w14:textId="4A6B10F7" w:rsidR="00A4543A" w:rsidRDefault="003B44A4" w:rsidP="00965501">
      <w:pPr>
        <w:rPr>
          <w:rFonts w:asciiTheme="majorHAnsi" w:hAnsiTheme="majorHAnsi"/>
        </w:rPr>
      </w:pPr>
      <w:r w:rsidRPr="00965501">
        <w:rPr>
          <w:rFonts w:asciiTheme="majorHAnsi" w:hAnsiTheme="majorHAnsi"/>
        </w:rPr>
        <w:t>Outlined below are some example symptoms</w:t>
      </w:r>
      <w:r w:rsidR="00F91779">
        <w:rPr>
          <w:rFonts w:asciiTheme="majorHAnsi" w:hAnsiTheme="majorHAnsi"/>
        </w:rPr>
        <w:t xml:space="preserve"> (</w:t>
      </w:r>
      <w:r w:rsidR="007851CE">
        <w:rPr>
          <w:rFonts w:asciiTheme="majorHAnsi" w:hAnsiTheme="majorHAnsi"/>
        </w:rPr>
        <w:t xml:space="preserve">which should be </w:t>
      </w:r>
      <w:r w:rsidR="00F91779">
        <w:rPr>
          <w:rFonts w:asciiTheme="majorHAnsi" w:hAnsiTheme="majorHAnsi"/>
        </w:rPr>
        <w:t>persistent and unexplained)</w:t>
      </w:r>
      <w:r w:rsidRPr="00965501">
        <w:rPr>
          <w:rFonts w:asciiTheme="majorHAnsi" w:hAnsiTheme="majorHAnsi"/>
        </w:rPr>
        <w:t xml:space="preserve"> to investigate through this route</w:t>
      </w:r>
      <w:r w:rsidR="00FC0E4F">
        <w:rPr>
          <w:rFonts w:asciiTheme="majorHAnsi" w:hAnsiTheme="majorHAnsi"/>
        </w:rPr>
        <w:t>:</w:t>
      </w:r>
    </w:p>
    <w:tbl>
      <w:tblPr>
        <w:tblStyle w:val="TableGrid"/>
        <w:tblW w:w="9746" w:type="dxa"/>
        <w:tblInd w:w="-5" w:type="dxa"/>
        <w:tblLook w:val="04A0" w:firstRow="1" w:lastRow="0" w:firstColumn="1" w:lastColumn="0" w:noHBand="0" w:noVBand="1"/>
      </w:tblPr>
      <w:tblGrid>
        <w:gridCol w:w="4877"/>
        <w:gridCol w:w="4869"/>
      </w:tblGrid>
      <w:tr w:rsidR="00A4543A" w:rsidRPr="00482ECE" w14:paraId="65EDC433" w14:textId="77777777" w:rsidTr="00A4543A">
        <w:tc>
          <w:tcPr>
            <w:tcW w:w="4877" w:type="dxa"/>
          </w:tcPr>
          <w:p w14:paraId="492E5D9B"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201F1E"/>
                <w:sz w:val="22"/>
                <w:szCs w:val="22"/>
              </w:rPr>
            </w:pPr>
            <w:r w:rsidRPr="00A4543A">
              <w:rPr>
                <w:rFonts w:ascii="Calibri" w:hAnsi="Calibri" w:cs="Calibri"/>
                <w:color w:val="000000"/>
                <w:sz w:val="22"/>
                <w:szCs w:val="22"/>
                <w:bdr w:val="none" w:sz="0" w:space="0" w:color="auto" w:frame="1"/>
              </w:rPr>
              <w:t>New unexplained and unintentional weight loss (either documented &gt;5% in three months or with strong clinical suspicion)</w:t>
            </w:r>
          </w:p>
        </w:tc>
        <w:tc>
          <w:tcPr>
            <w:tcW w:w="4869" w:type="dxa"/>
          </w:tcPr>
          <w:p w14:paraId="12C9E1F2"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000000"/>
                <w:sz w:val="22"/>
                <w:szCs w:val="22"/>
                <w:bdr w:val="none" w:sz="0" w:space="0" w:color="auto" w:frame="1"/>
              </w:rPr>
            </w:pPr>
            <w:r w:rsidRPr="00A4543A">
              <w:rPr>
                <w:rFonts w:ascii="Calibri" w:hAnsi="Calibri" w:cs="Calibri"/>
                <w:color w:val="000000"/>
                <w:sz w:val="22"/>
                <w:szCs w:val="22"/>
                <w:bdr w:val="none" w:sz="0" w:space="0" w:color="auto" w:frame="1"/>
              </w:rPr>
              <w:t>Unexplained night sweats</w:t>
            </w:r>
          </w:p>
        </w:tc>
      </w:tr>
      <w:tr w:rsidR="00A4543A" w:rsidRPr="00482ECE" w14:paraId="1F11FC57" w14:textId="77777777" w:rsidTr="00A4543A">
        <w:tc>
          <w:tcPr>
            <w:tcW w:w="4877" w:type="dxa"/>
          </w:tcPr>
          <w:p w14:paraId="6D8CB6B6"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201F1E"/>
                <w:sz w:val="22"/>
                <w:szCs w:val="22"/>
              </w:rPr>
            </w:pPr>
            <w:r w:rsidRPr="00A4543A">
              <w:rPr>
                <w:rFonts w:ascii="Calibri" w:hAnsi="Calibri" w:cs="Calibri"/>
                <w:color w:val="000000"/>
                <w:sz w:val="22"/>
                <w:szCs w:val="22"/>
                <w:bdr w:val="none" w:sz="0" w:space="0" w:color="auto" w:frame="1"/>
              </w:rPr>
              <w:t>New unexplained constitutional symptoms of four weeks or more (less if very significant concern). Symptoms include loss of appetite, fatigue, nausea, malaise, bloating.</w:t>
            </w:r>
          </w:p>
        </w:tc>
        <w:tc>
          <w:tcPr>
            <w:tcW w:w="4869" w:type="dxa"/>
          </w:tcPr>
          <w:p w14:paraId="4A4A4A52"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000000"/>
                <w:sz w:val="22"/>
                <w:szCs w:val="22"/>
                <w:bdr w:val="none" w:sz="0" w:space="0" w:color="auto" w:frame="1"/>
              </w:rPr>
            </w:pPr>
            <w:r w:rsidRPr="00A4543A">
              <w:rPr>
                <w:rFonts w:ascii="Calibri" w:hAnsi="Calibri" w:cs="Calibri"/>
                <w:color w:val="000000"/>
                <w:sz w:val="22"/>
                <w:szCs w:val="22"/>
                <w:bdr w:val="none" w:sz="0" w:space="0" w:color="auto" w:frame="1"/>
              </w:rPr>
              <w:t>Hepatomegaly</w:t>
            </w:r>
          </w:p>
        </w:tc>
      </w:tr>
      <w:tr w:rsidR="00A4543A" w:rsidRPr="00482ECE" w14:paraId="1CA9469B" w14:textId="77777777" w:rsidTr="00A4543A">
        <w:tc>
          <w:tcPr>
            <w:tcW w:w="4877" w:type="dxa"/>
          </w:tcPr>
          <w:p w14:paraId="100A5333"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201F1E"/>
                <w:sz w:val="22"/>
                <w:szCs w:val="22"/>
              </w:rPr>
            </w:pPr>
            <w:r w:rsidRPr="00A4543A">
              <w:rPr>
                <w:rFonts w:ascii="Calibri" w:hAnsi="Calibri" w:cs="Calibri"/>
                <w:color w:val="000000"/>
                <w:sz w:val="22"/>
                <w:szCs w:val="22"/>
                <w:bdr w:val="none" w:sz="0" w:space="0" w:color="auto" w:frame="1"/>
              </w:rPr>
              <w:t>New unexplained vague abdominal pain of four weeks or more (less if very significant concern)</w:t>
            </w:r>
          </w:p>
        </w:tc>
        <w:tc>
          <w:tcPr>
            <w:tcW w:w="4869" w:type="dxa"/>
          </w:tcPr>
          <w:p w14:paraId="77268AD7"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000000"/>
                <w:sz w:val="22"/>
                <w:szCs w:val="22"/>
                <w:bdr w:val="none" w:sz="0" w:space="0" w:color="auto" w:frame="1"/>
              </w:rPr>
            </w:pPr>
            <w:r w:rsidRPr="00A4543A">
              <w:rPr>
                <w:rFonts w:ascii="Calibri" w:hAnsi="Calibri" w:cs="Calibri"/>
                <w:color w:val="000000"/>
                <w:sz w:val="22"/>
                <w:szCs w:val="22"/>
                <w:bdr w:val="none" w:sz="0" w:space="0" w:color="auto" w:frame="1"/>
              </w:rPr>
              <w:t>Splenomegaly</w:t>
            </w:r>
          </w:p>
        </w:tc>
      </w:tr>
      <w:tr w:rsidR="00A4543A" w:rsidRPr="00482ECE" w14:paraId="73C051D0" w14:textId="77777777" w:rsidTr="00A4543A">
        <w:tc>
          <w:tcPr>
            <w:tcW w:w="4877" w:type="dxa"/>
          </w:tcPr>
          <w:p w14:paraId="25065C63"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201F1E"/>
                <w:sz w:val="22"/>
                <w:szCs w:val="22"/>
              </w:rPr>
            </w:pPr>
            <w:r w:rsidRPr="00A4543A">
              <w:rPr>
                <w:rFonts w:ascii="Calibri" w:hAnsi="Calibri" w:cs="Calibri"/>
                <w:color w:val="000000"/>
                <w:sz w:val="22"/>
                <w:szCs w:val="22"/>
                <w:bdr w:val="none" w:sz="0" w:space="0" w:color="auto" w:frame="1"/>
              </w:rPr>
              <w:t>New unexplained, unexpected or progressive pain, including bone pain, of four weeks or more</w:t>
            </w:r>
          </w:p>
        </w:tc>
        <w:tc>
          <w:tcPr>
            <w:tcW w:w="4869" w:type="dxa"/>
          </w:tcPr>
          <w:p w14:paraId="0012FEA9"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000000"/>
                <w:sz w:val="22"/>
                <w:szCs w:val="22"/>
                <w:bdr w:val="none" w:sz="0" w:space="0" w:color="auto" w:frame="1"/>
              </w:rPr>
            </w:pPr>
            <w:r w:rsidRPr="00A4543A">
              <w:rPr>
                <w:rFonts w:ascii="Calibri" w:hAnsi="Calibri" w:cs="Calibri"/>
                <w:color w:val="000000"/>
                <w:sz w:val="22"/>
                <w:szCs w:val="22"/>
                <w:bdr w:val="none" w:sz="0" w:space="0" w:color="auto" w:frame="1"/>
              </w:rPr>
              <w:t>Continued patient or family concern</w:t>
            </w:r>
          </w:p>
        </w:tc>
      </w:tr>
      <w:tr w:rsidR="00A4543A" w:rsidRPr="00482ECE" w14:paraId="0087898C" w14:textId="77777777" w:rsidTr="002A742A">
        <w:trPr>
          <w:trHeight w:val="683"/>
        </w:trPr>
        <w:tc>
          <w:tcPr>
            <w:tcW w:w="4877" w:type="dxa"/>
          </w:tcPr>
          <w:p w14:paraId="340F9027"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201F1E"/>
                <w:sz w:val="22"/>
                <w:szCs w:val="22"/>
              </w:rPr>
            </w:pPr>
            <w:r w:rsidRPr="00A4543A">
              <w:rPr>
                <w:rFonts w:ascii="Calibri" w:hAnsi="Calibri" w:cs="Calibri"/>
                <w:color w:val="000000"/>
                <w:sz w:val="22"/>
                <w:szCs w:val="22"/>
                <w:bdr w:val="none" w:sz="0" w:space="0" w:color="auto" w:frame="1"/>
              </w:rPr>
              <w:t>GP ‘gut feeling’ of cancer diagnosis – reasons to be clearly described at referral.</w:t>
            </w:r>
          </w:p>
        </w:tc>
        <w:tc>
          <w:tcPr>
            <w:tcW w:w="4869" w:type="dxa"/>
          </w:tcPr>
          <w:p w14:paraId="5419E589"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000000"/>
                <w:sz w:val="22"/>
                <w:szCs w:val="22"/>
                <w:bdr w:val="none" w:sz="0" w:space="0" w:color="auto" w:frame="1"/>
              </w:rPr>
            </w:pPr>
            <w:r w:rsidRPr="00A4543A">
              <w:rPr>
                <w:rFonts w:ascii="Calibri" w:hAnsi="Calibri" w:cs="Calibri"/>
                <w:color w:val="000000"/>
                <w:sz w:val="22"/>
                <w:szCs w:val="22"/>
                <w:bdr w:val="none" w:sz="0" w:space="0" w:color="auto" w:frame="1"/>
              </w:rPr>
              <w:t xml:space="preserve">Unprovoked DVT </w:t>
            </w:r>
            <w:r w:rsidRPr="00A4543A">
              <w:rPr>
                <w:rFonts w:ascii="Calibri" w:hAnsi="Calibri" w:cs="Calibri"/>
                <w:b/>
                <w:color w:val="000000"/>
                <w:sz w:val="22"/>
                <w:szCs w:val="22"/>
                <w:bdr w:val="none" w:sz="0" w:space="0" w:color="auto" w:frame="1"/>
              </w:rPr>
              <w:t>with other</w:t>
            </w:r>
            <w:r w:rsidRPr="00A4543A">
              <w:rPr>
                <w:rFonts w:ascii="Calibri" w:hAnsi="Calibri" w:cs="Calibri"/>
                <w:color w:val="000000"/>
                <w:sz w:val="22"/>
                <w:szCs w:val="22"/>
                <w:bdr w:val="none" w:sz="0" w:space="0" w:color="auto" w:frame="1"/>
              </w:rPr>
              <w:t xml:space="preserve"> signs and symptoms suggesting underlying cancer</w:t>
            </w:r>
          </w:p>
        </w:tc>
      </w:tr>
      <w:tr w:rsidR="00A4543A" w:rsidRPr="00482ECE" w14:paraId="5ADF1B93" w14:textId="77777777" w:rsidTr="002A742A">
        <w:trPr>
          <w:trHeight w:val="979"/>
        </w:trPr>
        <w:tc>
          <w:tcPr>
            <w:tcW w:w="4877" w:type="dxa"/>
          </w:tcPr>
          <w:p w14:paraId="6AB46BFD"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000000"/>
                <w:sz w:val="22"/>
                <w:szCs w:val="22"/>
                <w:bdr w:val="none" w:sz="0" w:space="0" w:color="auto" w:frame="1"/>
              </w:rPr>
            </w:pPr>
            <w:r w:rsidRPr="00A4543A">
              <w:rPr>
                <w:rFonts w:ascii="Calibri" w:hAnsi="Calibri" w:cs="Calibri"/>
                <w:color w:val="000000"/>
                <w:sz w:val="22"/>
                <w:szCs w:val="22"/>
                <w:bdr w:val="none" w:sz="0" w:space="0" w:color="auto" w:frame="1"/>
              </w:rPr>
              <w:t>Abnormal radiology suggesting cancer; not needing admission and not suitable for existing urgent cancer referral</w:t>
            </w:r>
          </w:p>
        </w:tc>
        <w:tc>
          <w:tcPr>
            <w:tcW w:w="4869" w:type="dxa"/>
          </w:tcPr>
          <w:p w14:paraId="269FC897"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000000"/>
                <w:sz w:val="22"/>
                <w:szCs w:val="22"/>
                <w:bdr w:val="none" w:sz="0" w:space="0" w:color="auto" w:frame="1"/>
              </w:rPr>
            </w:pPr>
            <w:r w:rsidRPr="00A4543A">
              <w:rPr>
                <w:rFonts w:ascii="Calibri" w:hAnsi="Calibri" w:cs="Calibri"/>
                <w:color w:val="000000"/>
                <w:sz w:val="22"/>
                <w:szCs w:val="22"/>
                <w:bdr w:val="none" w:sz="0" w:space="0" w:color="auto" w:frame="1"/>
              </w:rPr>
              <w:t>Inguinal lymphadenopathy (Axillary – refer to breast clinic; Cervical – refer to Neck Lump clinic using SCR form</w:t>
            </w:r>
          </w:p>
        </w:tc>
      </w:tr>
      <w:tr w:rsidR="00A4543A" w:rsidRPr="00482ECE" w14:paraId="270835D1" w14:textId="77777777" w:rsidTr="00A4543A">
        <w:tc>
          <w:tcPr>
            <w:tcW w:w="4877" w:type="dxa"/>
          </w:tcPr>
          <w:p w14:paraId="3C31C49F" w14:textId="77777777" w:rsidR="00A4543A" w:rsidRPr="00A4543A" w:rsidRDefault="00A4543A" w:rsidP="00A4543A">
            <w:pPr>
              <w:pStyle w:val="NormalWeb"/>
              <w:numPr>
                <w:ilvl w:val="0"/>
                <w:numId w:val="12"/>
              </w:numPr>
              <w:shd w:val="clear" w:color="auto" w:fill="FFFFFF"/>
              <w:spacing w:after="0"/>
              <w:textAlignment w:val="baseline"/>
              <w:rPr>
                <w:rFonts w:ascii="Calibri" w:hAnsi="Calibri" w:cs="Calibri"/>
                <w:color w:val="000000"/>
                <w:sz w:val="22"/>
                <w:szCs w:val="22"/>
                <w:bdr w:val="none" w:sz="0" w:space="0" w:color="auto" w:frame="1"/>
              </w:rPr>
            </w:pPr>
            <w:r w:rsidRPr="00A4543A">
              <w:rPr>
                <w:rFonts w:ascii="Calibri" w:hAnsi="Calibri" w:cs="Calibri"/>
                <w:color w:val="000000"/>
                <w:sz w:val="22"/>
                <w:szCs w:val="22"/>
                <w:bdr w:val="none" w:sz="0" w:space="0" w:color="auto" w:frame="1"/>
              </w:rPr>
              <w:t>Anaemia</w:t>
            </w:r>
          </w:p>
        </w:tc>
        <w:tc>
          <w:tcPr>
            <w:tcW w:w="4869" w:type="dxa"/>
          </w:tcPr>
          <w:p w14:paraId="5C50E904" w14:textId="77777777" w:rsidR="00A4543A" w:rsidRPr="00A4543A" w:rsidRDefault="00A4543A" w:rsidP="00567FAC">
            <w:pPr>
              <w:spacing w:after="120"/>
              <w:rPr>
                <w:rFonts w:ascii="Calibri" w:hAnsi="Calibri" w:cs="Calibri"/>
              </w:rPr>
            </w:pPr>
          </w:p>
        </w:tc>
      </w:tr>
      <w:tr w:rsidR="0097499E" w14:paraId="54C7DD45" w14:textId="77777777" w:rsidTr="00A45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877" w:type="dxa"/>
          </w:tcPr>
          <w:p w14:paraId="0BD0AB1B" w14:textId="38BEA720" w:rsidR="0097499E" w:rsidRPr="003D58B5" w:rsidRDefault="0097499E" w:rsidP="00AD0026">
            <w:pPr>
              <w:pStyle w:val="ListParagraph"/>
              <w:spacing w:after="0"/>
              <w:ind w:left="426"/>
              <w:rPr>
                <w:rFonts w:asciiTheme="majorHAnsi" w:hAnsiTheme="majorHAnsi"/>
                <w:sz w:val="20"/>
              </w:rPr>
            </w:pPr>
          </w:p>
        </w:tc>
        <w:tc>
          <w:tcPr>
            <w:tcW w:w="4869" w:type="dxa"/>
          </w:tcPr>
          <w:p w14:paraId="5F40D212" w14:textId="051E4754" w:rsidR="0097499E" w:rsidRPr="00A4543A" w:rsidRDefault="0097499E" w:rsidP="00A4543A">
            <w:pPr>
              <w:spacing w:after="0"/>
              <w:rPr>
                <w:rFonts w:asciiTheme="majorHAnsi" w:hAnsiTheme="majorHAnsi"/>
                <w:sz w:val="20"/>
              </w:rPr>
            </w:pPr>
          </w:p>
        </w:tc>
      </w:tr>
    </w:tbl>
    <w:p w14:paraId="68AE89F9" w14:textId="035A887B" w:rsidR="00937745" w:rsidRDefault="003B44A4" w:rsidP="00965501">
      <w:pPr>
        <w:rPr>
          <w:rFonts w:asciiTheme="majorHAnsi" w:hAnsiTheme="majorHAnsi"/>
          <w:b/>
        </w:rPr>
      </w:pPr>
      <w:r w:rsidRPr="00965501">
        <w:rPr>
          <w:rFonts w:asciiTheme="majorHAnsi" w:hAnsiTheme="majorHAnsi"/>
        </w:rPr>
        <w:t xml:space="preserve">Your patient will </w:t>
      </w:r>
      <w:r w:rsidR="00FC0E4F">
        <w:rPr>
          <w:rFonts w:asciiTheme="majorHAnsi" w:hAnsiTheme="majorHAnsi"/>
        </w:rPr>
        <w:t xml:space="preserve">have their first appointment </w:t>
      </w:r>
      <w:r w:rsidRPr="00965501">
        <w:rPr>
          <w:rFonts w:asciiTheme="majorHAnsi" w:hAnsiTheme="majorHAnsi"/>
        </w:rPr>
        <w:t>within a maximum of 14 days of referral</w:t>
      </w:r>
      <w:r w:rsidR="00FC0E4F">
        <w:rPr>
          <w:rFonts w:asciiTheme="majorHAnsi" w:hAnsiTheme="majorHAnsi"/>
        </w:rPr>
        <w:t xml:space="preserve">, but we aim </w:t>
      </w:r>
      <w:r w:rsidR="002A742A">
        <w:rPr>
          <w:rFonts w:asciiTheme="majorHAnsi" w:hAnsiTheme="majorHAnsi"/>
        </w:rPr>
        <w:t>for</w:t>
      </w:r>
      <w:r w:rsidR="00FC0E4F">
        <w:rPr>
          <w:rFonts w:asciiTheme="majorHAnsi" w:hAnsiTheme="majorHAnsi"/>
        </w:rPr>
        <w:t xml:space="preserve"> this </w:t>
      </w:r>
      <w:r w:rsidR="002A742A">
        <w:rPr>
          <w:rFonts w:asciiTheme="majorHAnsi" w:hAnsiTheme="majorHAnsi"/>
        </w:rPr>
        <w:t xml:space="preserve">to be </w:t>
      </w:r>
      <w:r w:rsidR="00FC0E4F">
        <w:rPr>
          <w:rFonts w:asciiTheme="majorHAnsi" w:hAnsiTheme="majorHAnsi"/>
        </w:rPr>
        <w:t>within 7 days of referral wherever possible</w:t>
      </w:r>
      <w:r w:rsidRPr="00965501">
        <w:rPr>
          <w:rFonts w:asciiTheme="majorHAnsi" w:hAnsiTheme="majorHAnsi"/>
        </w:rPr>
        <w:t>.</w:t>
      </w:r>
      <w:r w:rsidR="00F91779">
        <w:rPr>
          <w:rFonts w:asciiTheme="majorHAnsi" w:hAnsiTheme="majorHAnsi"/>
        </w:rPr>
        <w:t xml:space="preserve"> </w:t>
      </w:r>
      <w:r w:rsidRPr="00965501">
        <w:rPr>
          <w:rFonts w:asciiTheme="majorHAnsi" w:hAnsiTheme="majorHAnsi"/>
        </w:rPr>
        <w:t xml:space="preserve"> Your patient will </w:t>
      </w:r>
      <w:r w:rsidR="00FC0E4F">
        <w:rPr>
          <w:rFonts w:asciiTheme="majorHAnsi" w:hAnsiTheme="majorHAnsi"/>
        </w:rPr>
        <w:t xml:space="preserve">undergo a virtual nurse led clinical triage, </w:t>
      </w:r>
      <w:r w:rsidR="00FC0E4F" w:rsidRPr="00965501">
        <w:rPr>
          <w:rFonts w:asciiTheme="majorHAnsi" w:hAnsiTheme="majorHAnsi"/>
        </w:rPr>
        <w:t>before</w:t>
      </w:r>
      <w:r w:rsidR="00FC0E4F">
        <w:rPr>
          <w:rFonts w:asciiTheme="majorHAnsi" w:hAnsiTheme="majorHAnsi"/>
        </w:rPr>
        <w:t xml:space="preserve"> a diagnostic pathway is decided on.</w:t>
      </w:r>
    </w:p>
    <w:p w14:paraId="3528C0D6" w14:textId="123D2B50" w:rsidR="003B44A4" w:rsidRPr="00965501" w:rsidRDefault="003B44A4" w:rsidP="00965501">
      <w:pPr>
        <w:rPr>
          <w:rFonts w:asciiTheme="majorHAnsi" w:hAnsiTheme="majorHAnsi"/>
        </w:rPr>
      </w:pPr>
      <w:r w:rsidRPr="00965501">
        <w:rPr>
          <w:rFonts w:asciiTheme="majorHAnsi" w:hAnsiTheme="majorHAnsi"/>
        </w:rPr>
        <w:t xml:space="preserve">It is important that you </w:t>
      </w:r>
      <w:r w:rsidRPr="00A20713">
        <w:rPr>
          <w:rFonts w:asciiTheme="majorHAnsi" w:hAnsiTheme="majorHAnsi"/>
          <w:b/>
          <w:u w:val="single"/>
        </w:rPr>
        <w:t>inform your patient that the purpose of their referral is to</w:t>
      </w:r>
      <w:r w:rsidR="00FC0E4F">
        <w:rPr>
          <w:rFonts w:asciiTheme="majorHAnsi" w:hAnsiTheme="majorHAnsi"/>
          <w:b/>
          <w:u w:val="single"/>
        </w:rPr>
        <w:t xml:space="preserve"> rapidly</w:t>
      </w:r>
      <w:r w:rsidRPr="00A20713">
        <w:rPr>
          <w:rFonts w:asciiTheme="majorHAnsi" w:hAnsiTheme="majorHAnsi"/>
          <w:b/>
          <w:u w:val="single"/>
        </w:rPr>
        <w:t xml:space="preserve"> diagnose or rule out cancer</w:t>
      </w:r>
      <w:r w:rsidR="00FC0E4F">
        <w:rPr>
          <w:rFonts w:asciiTheme="majorHAnsi" w:hAnsiTheme="majorHAnsi"/>
          <w:b/>
          <w:u w:val="single"/>
        </w:rPr>
        <w:t>,</w:t>
      </w:r>
      <w:r w:rsidRPr="00965501">
        <w:rPr>
          <w:rFonts w:asciiTheme="majorHAnsi" w:hAnsiTheme="majorHAnsi"/>
        </w:rPr>
        <w:t xml:space="preserve"> and to prepare them for what might </w:t>
      </w:r>
      <w:r w:rsidR="002A742A">
        <w:rPr>
          <w:rFonts w:asciiTheme="majorHAnsi" w:hAnsiTheme="majorHAnsi"/>
        </w:rPr>
        <w:t>be discussed</w:t>
      </w:r>
      <w:r w:rsidRPr="00965501">
        <w:rPr>
          <w:rFonts w:asciiTheme="majorHAnsi" w:hAnsiTheme="majorHAnsi"/>
        </w:rPr>
        <w:t xml:space="preserve"> on the day. </w:t>
      </w:r>
      <w:r w:rsidR="00022DDD">
        <w:rPr>
          <w:rFonts w:asciiTheme="majorHAnsi" w:hAnsiTheme="majorHAnsi"/>
        </w:rPr>
        <w:t xml:space="preserve"> </w:t>
      </w:r>
      <w:r w:rsidRPr="00965501">
        <w:rPr>
          <w:rFonts w:asciiTheme="majorHAnsi" w:hAnsiTheme="majorHAnsi"/>
        </w:rPr>
        <w:t xml:space="preserve">Further instructions </w:t>
      </w:r>
      <w:r w:rsidR="005D6AA9">
        <w:rPr>
          <w:rFonts w:asciiTheme="majorHAnsi" w:hAnsiTheme="majorHAnsi"/>
        </w:rPr>
        <w:t>will</w:t>
      </w:r>
      <w:r w:rsidR="008002FA">
        <w:rPr>
          <w:rFonts w:asciiTheme="majorHAnsi" w:hAnsiTheme="majorHAnsi"/>
        </w:rPr>
        <w:t xml:space="preserve"> b</w:t>
      </w:r>
      <w:r w:rsidRPr="00965501">
        <w:rPr>
          <w:rFonts w:asciiTheme="majorHAnsi" w:hAnsiTheme="majorHAnsi"/>
        </w:rPr>
        <w:t xml:space="preserve">e provided </w:t>
      </w:r>
      <w:r w:rsidR="00FC0E4F">
        <w:rPr>
          <w:rFonts w:asciiTheme="majorHAnsi" w:hAnsiTheme="majorHAnsi"/>
        </w:rPr>
        <w:t>to your</w:t>
      </w:r>
      <w:r w:rsidRPr="00965501">
        <w:rPr>
          <w:rFonts w:asciiTheme="majorHAnsi" w:hAnsiTheme="majorHAnsi"/>
        </w:rPr>
        <w:t xml:space="preserve"> </w:t>
      </w:r>
      <w:r w:rsidR="00FC0E4F">
        <w:rPr>
          <w:rFonts w:asciiTheme="majorHAnsi" w:hAnsiTheme="majorHAnsi"/>
        </w:rPr>
        <w:t xml:space="preserve">patient by their assigned RDC key worker </w:t>
      </w:r>
      <w:r w:rsidRPr="00965501">
        <w:rPr>
          <w:rFonts w:asciiTheme="majorHAnsi" w:hAnsiTheme="majorHAnsi"/>
        </w:rPr>
        <w:t>regarding specific investigations.</w:t>
      </w:r>
    </w:p>
    <w:p w14:paraId="6F37196E" w14:textId="6416EB2A" w:rsidR="00D002CE" w:rsidRDefault="003B44A4" w:rsidP="00965501">
      <w:pPr>
        <w:rPr>
          <w:rFonts w:asciiTheme="majorHAnsi" w:hAnsiTheme="majorHAnsi"/>
        </w:rPr>
      </w:pPr>
      <w:r w:rsidRPr="00965501">
        <w:rPr>
          <w:rFonts w:asciiTheme="majorHAnsi" w:hAnsiTheme="majorHAnsi"/>
        </w:rPr>
        <w:t>Should cancer be confirmed</w:t>
      </w:r>
      <w:r w:rsidR="00A20713">
        <w:rPr>
          <w:rFonts w:asciiTheme="majorHAnsi" w:hAnsiTheme="majorHAnsi"/>
        </w:rPr>
        <w:t>,</w:t>
      </w:r>
      <w:r w:rsidRPr="00965501">
        <w:rPr>
          <w:rFonts w:asciiTheme="majorHAnsi" w:hAnsiTheme="majorHAnsi"/>
        </w:rPr>
        <w:t xml:space="preserve"> your patient will be appropriately supported by a Clinical Nurse Specialist and referred on to the appropriate team </w:t>
      </w:r>
      <w:r w:rsidR="00D002CE">
        <w:rPr>
          <w:rFonts w:asciiTheme="majorHAnsi" w:hAnsiTheme="majorHAnsi"/>
        </w:rPr>
        <w:t xml:space="preserve">and MDT </w:t>
      </w:r>
      <w:r w:rsidRPr="00965501">
        <w:rPr>
          <w:rFonts w:asciiTheme="majorHAnsi" w:hAnsiTheme="majorHAnsi"/>
        </w:rPr>
        <w:t>for further investigations and management.</w:t>
      </w:r>
    </w:p>
    <w:p w14:paraId="395FD5EE" w14:textId="5E48A5BD" w:rsidR="003B44A4" w:rsidRPr="00965501" w:rsidRDefault="00A4543A" w:rsidP="00A4543A">
      <w:pPr>
        <w:jc w:val="both"/>
        <w:rPr>
          <w:rFonts w:asciiTheme="majorHAnsi" w:hAnsiTheme="majorHAnsi"/>
        </w:rPr>
      </w:pPr>
      <w:r w:rsidRPr="006970FB">
        <w:rPr>
          <w:rFonts w:ascii="Calibri" w:eastAsia="MS Mincho" w:hAnsi="Calibri" w:cs="Times New Roman"/>
          <w:noProof/>
        </w:rPr>
        <w:lastRenderedPageBreak/>
        <w:drawing>
          <wp:anchor distT="0" distB="0" distL="114300" distR="114300" simplePos="0" relativeHeight="251658240" behindDoc="0" locked="0" layoutInCell="1" allowOverlap="1" wp14:anchorId="629F3CBB" wp14:editId="687E32EB">
            <wp:simplePos x="0" y="0"/>
            <wp:positionH relativeFrom="column">
              <wp:posOffset>2006255</wp:posOffset>
            </wp:positionH>
            <wp:positionV relativeFrom="paragraph">
              <wp:posOffset>-1384746</wp:posOffset>
            </wp:positionV>
            <wp:extent cx="1447800" cy="499745"/>
            <wp:effectExtent l="0" t="0" r="0" b="0"/>
            <wp:wrapNone/>
            <wp:docPr id="6" name="Picture 1" descr="cid:image009.png@01D63D84.CDDDF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63D84.CDDDF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A4" w:rsidRPr="00965501">
        <w:rPr>
          <w:rFonts w:asciiTheme="majorHAnsi" w:hAnsiTheme="majorHAnsi"/>
        </w:rPr>
        <w:t>If cancer is excluded with sufficient certainty, your patient will be discharged back to your care</w:t>
      </w:r>
      <w:r w:rsidR="00E75AAD" w:rsidRPr="00E75AAD">
        <w:rPr>
          <w:rFonts w:asciiTheme="majorHAnsi" w:hAnsiTheme="majorHAnsi"/>
        </w:rPr>
        <w:t xml:space="preserve"> </w:t>
      </w:r>
      <w:r w:rsidR="00E75AAD" w:rsidRPr="00D002CE">
        <w:rPr>
          <w:rFonts w:asciiTheme="majorHAnsi" w:hAnsiTheme="majorHAnsi"/>
          <w:b/>
          <w:bCs/>
        </w:rPr>
        <w:t>or</w:t>
      </w:r>
      <w:r w:rsidR="00E75AAD" w:rsidRPr="00E75AAD">
        <w:rPr>
          <w:rFonts w:asciiTheme="majorHAnsi" w:hAnsiTheme="majorHAnsi"/>
        </w:rPr>
        <w:t xml:space="preserve"> transferred to a relevant non-cancer pathway </w:t>
      </w:r>
      <w:r w:rsidR="00D002CE">
        <w:rPr>
          <w:rFonts w:asciiTheme="majorHAnsi" w:hAnsiTheme="majorHAnsi"/>
        </w:rPr>
        <w:t>if</w:t>
      </w:r>
      <w:r w:rsidR="00E75AAD" w:rsidRPr="00E75AAD">
        <w:rPr>
          <w:rFonts w:asciiTheme="majorHAnsi" w:hAnsiTheme="majorHAnsi"/>
        </w:rPr>
        <w:t xml:space="preserve"> a significant diagnosis has been made that requires further secondary care management.</w:t>
      </w:r>
      <w:r w:rsidR="00022DDD">
        <w:rPr>
          <w:rFonts w:asciiTheme="majorHAnsi" w:hAnsiTheme="majorHAnsi"/>
        </w:rPr>
        <w:t xml:space="preserve"> </w:t>
      </w:r>
      <w:r w:rsidR="003B44A4" w:rsidRPr="00965501">
        <w:rPr>
          <w:rFonts w:asciiTheme="majorHAnsi" w:hAnsiTheme="majorHAnsi"/>
        </w:rPr>
        <w:t xml:space="preserve"> They will receive appropriate safety netting advice and be offered strategies to reduce their primary cancer risk.  You will receive a letter detailing the investigation findings and any other information that might be relevant to their further management.</w:t>
      </w:r>
    </w:p>
    <w:p w14:paraId="2C9ED75D" w14:textId="5AF4EA2F" w:rsidR="00AD12B0" w:rsidRPr="00AD0026" w:rsidRDefault="003B44A4" w:rsidP="00AD0026">
      <w:pPr>
        <w:rPr>
          <w:rFonts w:asciiTheme="majorHAnsi" w:hAnsiTheme="majorHAnsi"/>
        </w:rPr>
      </w:pPr>
      <w:r w:rsidRPr="00965501">
        <w:rPr>
          <w:rFonts w:asciiTheme="majorHAnsi" w:hAnsiTheme="majorHAnsi"/>
        </w:rPr>
        <w:t>There will be a number of patients for whom cancer cannot be excluded in a single appointment.  They will be referred for further investigations until a cancer diagnosis is either confirmed or ruled out.</w:t>
      </w:r>
    </w:p>
    <w:p w14:paraId="2668C63E" w14:textId="77777777" w:rsidR="00A4543A" w:rsidRDefault="00A4543A" w:rsidP="00022DDD">
      <w:pPr>
        <w:spacing w:after="120"/>
        <w:rPr>
          <w:rFonts w:asciiTheme="majorHAnsi" w:hAnsiTheme="majorHAnsi"/>
          <w:b/>
        </w:rPr>
      </w:pPr>
    </w:p>
    <w:p w14:paraId="64B8E4B2" w14:textId="4C745835" w:rsidR="003B44A4" w:rsidRPr="00965501" w:rsidRDefault="003B44A4" w:rsidP="00022DDD">
      <w:pPr>
        <w:spacing w:after="120"/>
        <w:rPr>
          <w:rFonts w:asciiTheme="majorHAnsi" w:hAnsiTheme="majorHAnsi"/>
          <w:b/>
        </w:rPr>
      </w:pPr>
      <w:r w:rsidRPr="00965501">
        <w:rPr>
          <w:rFonts w:asciiTheme="majorHAnsi" w:hAnsiTheme="majorHAnsi"/>
          <w:b/>
        </w:rPr>
        <w:t>Exclusion criteria</w:t>
      </w:r>
    </w:p>
    <w:p w14:paraId="242A7FAB" w14:textId="5CD2ADB6" w:rsidR="003B44A4" w:rsidRDefault="002A742A" w:rsidP="00965501">
      <w:pPr>
        <w:rPr>
          <w:rFonts w:asciiTheme="majorHAnsi" w:hAnsiTheme="majorHAnsi"/>
        </w:rPr>
      </w:pPr>
      <w:r>
        <w:rPr>
          <w:rFonts w:asciiTheme="majorHAnsi" w:hAnsiTheme="majorHAnsi"/>
        </w:rPr>
        <w:t>Specific</w:t>
      </w:r>
      <w:r w:rsidR="003B44A4" w:rsidRPr="00965501">
        <w:rPr>
          <w:rFonts w:asciiTheme="majorHAnsi" w:hAnsiTheme="majorHAnsi"/>
        </w:rPr>
        <w:t xml:space="preserve"> symptoms </w:t>
      </w:r>
      <w:r>
        <w:rPr>
          <w:rFonts w:asciiTheme="majorHAnsi" w:hAnsiTheme="majorHAnsi"/>
        </w:rPr>
        <w:t xml:space="preserve">can </w:t>
      </w:r>
      <w:r w:rsidR="003B44A4" w:rsidRPr="00965501">
        <w:rPr>
          <w:rFonts w:asciiTheme="majorHAnsi" w:hAnsiTheme="majorHAnsi"/>
        </w:rPr>
        <w:t>point towards a specific cancer.</w:t>
      </w:r>
      <w:r w:rsidR="00022DDD">
        <w:rPr>
          <w:rFonts w:asciiTheme="majorHAnsi" w:hAnsiTheme="majorHAnsi"/>
        </w:rPr>
        <w:t xml:space="preserve"> </w:t>
      </w:r>
      <w:r w:rsidR="003B44A4" w:rsidRPr="00965501">
        <w:rPr>
          <w:rFonts w:asciiTheme="majorHAnsi" w:hAnsiTheme="majorHAnsi"/>
        </w:rPr>
        <w:t xml:space="preserve"> These should be investigated or referred in accordance with the NICE NG12 guideline and </w:t>
      </w:r>
      <w:r w:rsidR="003B44A4" w:rsidRPr="00965501">
        <w:rPr>
          <w:rFonts w:asciiTheme="majorHAnsi" w:hAnsiTheme="majorHAnsi"/>
          <w:u w:val="single"/>
        </w:rPr>
        <w:t>not considered for this pathway</w:t>
      </w:r>
      <w:r w:rsidR="003B44A4" w:rsidRPr="00965501">
        <w:rPr>
          <w:rFonts w:asciiTheme="majorHAnsi" w:hAnsiTheme="majorHAnsi"/>
        </w:rPr>
        <w:t>:</w:t>
      </w:r>
      <w:r w:rsidR="00022DDD">
        <w:rPr>
          <w:rFonts w:asciiTheme="majorHAnsi" w:hAnsiTheme="majorHAnsi"/>
        </w:rPr>
        <w:t xml:space="preserve"> </w:t>
      </w:r>
    </w:p>
    <w:tbl>
      <w:tblPr>
        <w:tblStyle w:val="TableGrid"/>
        <w:tblW w:w="0" w:type="auto"/>
        <w:tblLook w:val="04A0" w:firstRow="1" w:lastRow="0" w:firstColumn="1" w:lastColumn="0" w:noHBand="0" w:noVBand="1"/>
      </w:tblPr>
      <w:tblGrid>
        <w:gridCol w:w="1951"/>
        <w:gridCol w:w="2019"/>
        <w:gridCol w:w="2609"/>
        <w:gridCol w:w="1685"/>
        <w:gridCol w:w="1472"/>
      </w:tblGrid>
      <w:tr w:rsidR="005E1A59" w14:paraId="113F0776" w14:textId="77777777" w:rsidTr="00E90260">
        <w:tc>
          <w:tcPr>
            <w:tcW w:w="1992" w:type="dxa"/>
          </w:tcPr>
          <w:p w14:paraId="0D709865" w14:textId="77777777" w:rsidR="005E1A59" w:rsidRPr="004B0B0F" w:rsidRDefault="005E1A59" w:rsidP="00E90260">
            <w:pPr>
              <w:spacing w:before="120" w:after="60"/>
              <w:rPr>
                <w:rFonts w:asciiTheme="majorHAnsi" w:hAnsiTheme="majorHAnsi"/>
                <w:sz w:val="20"/>
              </w:rPr>
            </w:pPr>
            <w:r w:rsidRPr="004B0B0F">
              <w:rPr>
                <w:rFonts w:asciiTheme="majorHAnsi" w:hAnsiTheme="majorHAnsi"/>
                <w:sz w:val="20"/>
              </w:rPr>
              <w:t>Shortness of breath</w:t>
            </w:r>
          </w:p>
          <w:p w14:paraId="339302EE" w14:textId="77777777" w:rsidR="005E1A59" w:rsidRPr="004B0B0F" w:rsidRDefault="005E1A59" w:rsidP="00E90260">
            <w:pPr>
              <w:spacing w:after="60"/>
              <w:rPr>
                <w:rFonts w:asciiTheme="majorHAnsi" w:hAnsiTheme="majorHAnsi"/>
                <w:sz w:val="20"/>
              </w:rPr>
            </w:pPr>
            <w:r w:rsidRPr="004B0B0F">
              <w:rPr>
                <w:rFonts w:asciiTheme="majorHAnsi" w:hAnsiTheme="majorHAnsi"/>
                <w:sz w:val="20"/>
              </w:rPr>
              <w:t>Cough</w:t>
            </w:r>
          </w:p>
          <w:p w14:paraId="29E42CB2" w14:textId="77777777" w:rsidR="005E1A59" w:rsidRPr="004B0B0F" w:rsidRDefault="005E1A59" w:rsidP="00E90260">
            <w:pPr>
              <w:spacing w:after="120"/>
              <w:rPr>
                <w:rFonts w:asciiTheme="majorHAnsi" w:hAnsiTheme="majorHAnsi"/>
                <w:sz w:val="20"/>
              </w:rPr>
            </w:pPr>
            <w:r w:rsidRPr="004B0B0F">
              <w:rPr>
                <w:rFonts w:asciiTheme="majorHAnsi" w:hAnsiTheme="majorHAnsi"/>
                <w:sz w:val="20"/>
              </w:rPr>
              <w:t>Haemoptysis</w:t>
            </w:r>
          </w:p>
        </w:tc>
        <w:tc>
          <w:tcPr>
            <w:tcW w:w="2085" w:type="dxa"/>
          </w:tcPr>
          <w:p w14:paraId="3193600A" w14:textId="77777777" w:rsidR="00E90260" w:rsidRPr="004B0B0F" w:rsidRDefault="00E90260" w:rsidP="00E90260">
            <w:pPr>
              <w:spacing w:before="120" w:after="60"/>
              <w:rPr>
                <w:rFonts w:asciiTheme="majorHAnsi" w:hAnsiTheme="majorHAnsi"/>
                <w:sz w:val="20"/>
              </w:rPr>
            </w:pPr>
            <w:r w:rsidRPr="004B0B0F">
              <w:rPr>
                <w:rFonts w:asciiTheme="majorHAnsi" w:hAnsiTheme="majorHAnsi"/>
                <w:sz w:val="20"/>
              </w:rPr>
              <w:t>Rectal bleeding</w:t>
            </w:r>
          </w:p>
          <w:p w14:paraId="7DD81C06" w14:textId="77777777" w:rsidR="00E90260" w:rsidRPr="004B0B0F" w:rsidRDefault="00E90260" w:rsidP="00E90260">
            <w:pPr>
              <w:spacing w:after="60"/>
              <w:rPr>
                <w:rFonts w:asciiTheme="majorHAnsi" w:hAnsiTheme="majorHAnsi"/>
                <w:sz w:val="20"/>
              </w:rPr>
            </w:pPr>
            <w:r w:rsidRPr="004B0B0F">
              <w:rPr>
                <w:rFonts w:asciiTheme="majorHAnsi" w:hAnsiTheme="majorHAnsi"/>
                <w:sz w:val="20"/>
              </w:rPr>
              <w:t>Melaena</w:t>
            </w:r>
          </w:p>
          <w:p w14:paraId="66B7FB74" w14:textId="77777777" w:rsidR="005E1A59" w:rsidRPr="004B0B0F" w:rsidRDefault="00E90260" w:rsidP="00E90260">
            <w:pPr>
              <w:spacing w:after="60"/>
              <w:rPr>
                <w:rFonts w:asciiTheme="majorHAnsi" w:hAnsiTheme="majorHAnsi"/>
                <w:sz w:val="20"/>
              </w:rPr>
            </w:pPr>
            <w:r w:rsidRPr="004B0B0F">
              <w:rPr>
                <w:rFonts w:asciiTheme="majorHAnsi" w:hAnsiTheme="majorHAnsi"/>
                <w:sz w:val="20"/>
              </w:rPr>
              <w:t>Altered bowel habit</w:t>
            </w:r>
          </w:p>
        </w:tc>
        <w:tc>
          <w:tcPr>
            <w:tcW w:w="2694" w:type="dxa"/>
          </w:tcPr>
          <w:p w14:paraId="3B3672EC" w14:textId="77777777" w:rsidR="00E90260" w:rsidRPr="004B0B0F" w:rsidRDefault="00E90260" w:rsidP="00E90260">
            <w:pPr>
              <w:spacing w:before="120" w:after="60"/>
              <w:rPr>
                <w:rFonts w:asciiTheme="majorHAnsi" w:hAnsiTheme="majorHAnsi"/>
                <w:sz w:val="20"/>
              </w:rPr>
            </w:pPr>
            <w:r w:rsidRPr="004B0B0F">
              <w:rPr>
                <w:rFonts w:asciiTheme="majorHAnsi" w:hAnsiTheme="majorHAnsi"/>
                <w:sz w:val="20"/>
              </w:rPr>
              <w:t xml:space="preserve">Post-menopausal bleeding </w:t>
            </w:r>
          </w:p>
          <w:p w14:paraId="32E3A326" w14:textId="77777777" w:rsidR="005E1A59" w:rsidRPr="004B0B0F" w:rsidRDefault="00E90260" w:rsidP="00E90260">
            <w:pPr>
              <w:spacing w:after="120"/>
              <w:rPr>
                <w:rFonts w:asciiTheme="majorHAnsi" w:hAnsiTheme="majorHAnsi"/>
                <w:sz w:val="20"/>
              </w:rPr>
            </w:pPr>
            <w:r w:rsidRPr="004B0B0F">
              <w:rPr>
                <w:rFonts w:asciiTheme="majorHAnsi" w:hAnsiTheme="majorHAnsi"/>
                <w:sz w:val="20"/>
              </w:rPr>
              <w:t>Abnormal vaginal bleeding</w:t>
            </w:r>
          </w:p>
        </w:tc>
        <w:tc>
          <w:tcPr>
            <w:tcW w:w="1701" w:type="dxa"/>
          </w:tcPr>
          <w:p w14:paraId="61F6B35B" w14:textId="77777777" w:rsidR="00E90260" w:rsidRPr="004B0B0F" w:rsidRDefault="00E90260" w:rsidP="00E90260">
            <w:pPr>
              <w:spacing w:before="120" w:after="60"/>
              <w:rPr>
                <w:rFonts w:asciiTheme="majorHAnsi" w:hAnsiTheme="majorHAnsi"/>
                <w:sz w:val="20"/>
              </w:rPr>
            </w:pPr>
            <w:r w:rsidRPr="004B0B0F">
              <w:rPr>
                <w:rFonts w:asciiTheme="majorHAnsi" w:hAnsiTheme="majorHAnsi"/>
                <w:sz w:val="20"/>
              </w:rPr>
              <w:t xml:space="preserve">Haematemesis </w:t>
            </w:r>
          </w:p>
          <w:p w14:paraId="504B9FFF" w14:textId="77777777" w:rsidR="005E1A59" w:rsidRPr="004B0B0F" w:rsidRDefault="00E90260" w:rsidP="00E90260">
            <w:pPr>
              <w:spacing w:after="60"/>
              <w:rPr>
                <w:rFonts w:asciiTheme="majorHAnsi" w:hAnsiTheme="majorHAnsi"/>
                <w:sz w:val="20"/>
              </w:rPr>
            </w:pPr>
            <w:r w:rsidRPr="004B0B0F">
              <w:rPr>
                <w:rFonts w:asciiTheme="majorHAnsi" w:hAnsiTheme="majorHAnsi"/>
                <w:sz w:val="20"/>
              </w:rPr>
              <w:t xml:space="preserve"> Dysphagia</w:t>
            </w:r>
          </w:p>
        </w:tc>
        <w:tc>
          <w:tcPr>
            <w:tcW w:w="1490" w:type="dxa"/>
          </w:tcPr>
          <w:p w14:paraId="0045CFBC" w14:textId="77777777" w:rsidR="005E1A59" w:rsidRPr="004B0B0F" w:rsidRDefault="00E90260" w:rsidP="00E90260">
            <w:pPr>
              <w:spacing w:before="120" w:after="60"/>
              <w:rPr>
                <w:rFonts w:asciiTheme="majorHAnsi" w:hAnsiTheme="majorHAnsi"/>
                <w:sz w:val="20"/>
              </w:rPr>
            </w:pPr>
            <w:r w:rsidRPr="004B0B0F">
              <w:rPr>
                <w:rFonts w:asciiTheme="majorHAnsi" w:hAnsiTheme="majorHAnsi"/>
                <w:sz w:val="20"/>
              </w:rPr>
              <w:t>Haematuria</w:t>
            </w:r>
          </w:p>
        </w:tc>
      </w:tr>
    </w:tbl>
    <w:p w14:paraId="3A0DFB22" w14:textId="77777777" w:rsidR="005E1A59" w:rsidRPr="00965501" w:rsidRDefault="005E1A59" w:rsidP="00E90260">
      <w:pPr>
        <w:spacing w:after="120"/>
        <w:rPr>
          <w:rFonts w:asciiTheme="majorHAnsi" w:hAnsiTheme="majorHAnsi"/>
        </w:rPr>
      </w:pPr>
    </w:p>
    <w:p w14:paraId="45681136" w14:textId="7493D21F" w:rsidR="00A042EA" w:rsidRDefault="003B44A4" w:rsidP="00140619">
      <w:pPr>
        <w:spacing w:before="60" w:after="60"/>
        <w:rPr>
          <w:rFonts w:asciiTheme="majorHAnsi" w:hAnsiTheme="majorHAnsi"/>
        </w:rPr>
      </w:pPr>
      <w:r w:rsidRPr="00965501">
        <w:rPr>
          <w:rFonts w:asciiTheme="majorHAnsi" w:hAnsiTheme="majorHAnsi"/>
        </w:rPr>
        <w:t xml:space="preserve">This is </w:t>
      </w:r>
      <w:r w:rsidR="00022DDD">
        <w:rPr>
          <w:rFonts w:asciiTheme="majorHAnsi" w:hAnsiTheme="majorHAnsi"/>
        </w:rPr>
        <w:t>the first phase of an ambitious programme</w:t>
      </w:r>
      <w:r w:rsidR="00A4543A">
        <w:rPr>
          <w:rFonts w:asciiTheme="majorHAnsi" w:hAnsiTheme="majorHAnsi"/>
        </w:rPr>
        <w:t xml:space="preserve"> within</w:t>
      </w:r>
      <w:r w:rsidR="00FC0E4F">
        <w:rPr>
          <w:rFonts w:asciiTheme="majorHAnsi" w:hAnsiTheme="majorHAnsi"/>
        </w:rPr>
        <w:t xml:space="preserve"> the NCA</w:t>
      </w:r>
      <w:r w:rsidR="00022DDD">
        <w:rPr>
          <w:rFonts w:asciiTheme="majorHAnsi" w:hAnsiTheme="majorHAnsi"/>
        </w:rPr>
        <w:t xml:space="preserve"> to provide rapid diagnosis for a number of cancers</w:t>
      </w:r>
      <w:r w:rsidRPr="00965501">
        <w:rPr>
          <w:rFonts w:asciiTheme="majorHAnsi" w:hAnsiTheme="majorHAnsi"/>
        </w:rPr>
        <w:t>.</w:t>
      </w:r>
      <w:r w:rsidR="003D7989">
        <w:rPr>
          <w:rFonts w:asciiTheme="majorHAnsi" w:hAnsiTheme="majorHAnsi"/>
        </w:rPr>
        <w:t xml:space="preserve">  The </w:t>
      </w:r>
      <w:r w:rsidR="003D7989" w:rsidRPr="003D7989">
        <w:rPr>
          <w:rFonts w:asciiTheme="majorHAnsi" w:hAnsiTheme="majorHAnsi"/>
        </w:rPr>
        <w:t xml:space="preserve">RDC model is anticipated to grow and expand </w:t>
      </w:r>
      <w:r w:rsidR="003D7989">
        <w:rPr>
          <w:rFonts w:asciiTheme="majorHAnsi" w:hAnsiTheme="majorHAnsi"/>
        </w:rPr>
        <w:t xml:space="preserve">to other tumour groups, which will </w:t>
      </w:r>
      <w:r w:rsidR="003D7989" w:rsidRPr="003D7989">
        <w:rPr>
          <w:rFonts w:asciiTheme="majorHAnsi" w:hAnsiTheme="majorHAnsi"/>
        </w:rPr>
        <w:t xml:space="preserve">benefit ever increasing numbers of patients referred on </w:t>
      </w:r>
      <w:r w:rsidR="003D7989">
        <w:rPr>
          <w:rFonts w:asciiTheme="majorHAnsi" w:hAnsiTheme="majorHAnsi"/>
        </w:rPr>
        <w:t>Two Week Wait pathways</w:t>
      </w:r>
      <w:r w:rsidR="003D7989" w:rsidRPr="003D7989">
        <w:rPr>
          <w:rFonts w:asciiTheme="majorHAnsi" w:hAnsiTheme="majorHAnsi"/>
        </w:rPr>
        <w:t>.</w:t>
      </w:r>
      <w:r w:rsidR="00D96B05">
        <w:rPr>
          <w:rFonts w:asciiTheme="majorHAnsi" w:hAnsiTheme="majorHAnsi"/>
        </w:rPr>
        <w:t xml:space="preserve">  </w:t>
      </w:r>
    </w:p>
    <w:p w14:paraId="44692A12" w14:textId="77777777" w:rsidR="00CE47AD" w:rsidRDefault="00CE47AD" w:rsidP="00140619">
      <w:pPr>
        <w:spacing w:before="60" w:after="60"/>
        <w:rPr>
          <w:rFonts w:asciiTheme="majorHAnsi" w:hAnsiTheme="majorHAnsi"/>
        </w:rPr>
      </w:pPr>
    </w:p>
    <w:p w14:paraId="117FCC22" w14:textId="77777777" w:rsidR="004A1447" w:rsidRDefault="004A1447" w:rsidP="00140619">
      <w:pPr>
        <w:spacing w:before="60" w:after="60"/>
        <w:rPr>
          <w:rFonts w:asciiTheme="majorHAnsi" w:hAnsiTheme="majorHAnsi"/>
        </w:rPr>
      </w:pPr>
      <w:r>
        <w:rPr>
          <w:rFonts w:asciiTheme="majorHAnsi" w:hAnsiTheme="majorHAnsi"/>
        </w:rPr>
        <w:t xml:space="preserve">If you have any queries regarding the pathway or would like to send your feedback, please contact us on </w:t>
      </w:r>
    </w:p>
    <w:p w14:paraId="6EC6F4CA" w14:textId="77777777" w:rsidR="00FB5803" w:rsidRDefault="006B7C4F" w:rsidP="00140619">
      <w:pPr>
        <w:spacing w:before="60" w:after="60"/>
        <w:rPr>
          <w:rFonts w:asciiTheme="majorHAnsi" w:hAnsiTheme="majorHAnsi"/>
        </w:rPr>
      </w:pPr>
      <w:hyperlink r:id="rId9" w:history="1">
        <w:r w:rsidR="004A1447" w:rsidRPr="00804F15">
          <w:rPr>
            <w:rStyle w:val="Hyperlink"/>
            <w:rFonts w:asciiTheme="majorHAnsi" w:hAnsiTheme="majorHAnsi"/>
          </w:rPr>
          <w:t>RDC@srft.nhs.uk</w:t>
        </w:r>
      </w:hyperlink>
    </w:p>
    <w:p w14:paraId="61A9CB50" w14:textId="77777777" w:rsidR="006970FB" w:rsidRDefault="006970FB" w:rsidP="00140619">
      <w:pPr>
        <w:spacing w:before="60" w:after="60"/>
        <w:rPr>
          <w:rFonts w:asciiTheme="majorHAnsi" w:hAnsiTheme="majorHAnsi"/>
        </w:rPr>
      </w:pPr>
    </w:p>
    <w:p w14:paraId="49E9A57C" w14:textId="77777777" w:rsidR="006970FB" w:rsidRDefault="006970FB" w:rsidP="00140619">
      <w:pPr>
        <w:spacing w:before="60" w:after="60"/>
        <w:rPr>
          <w:rFonts w:asciiTheme="majorHAnsi" w:hAnsiTheme="majorHAnsi"/>
        </w:rPr>
      </w:pPr>
    </w:p>
    <w:p w14:paraId="237E75B1" w14:textId="77777777" w:rsidR="006970FB" w:rsidRDefault="006970FB" w:rsidP="00140619">
      <w:pPr>
        <w:spacing w:before="60" w:after="60"/>
        <w:rPr>
          <w:rFonts w:asciiTheme="majorHAnsi" w:hAnsiTheme="majorHAnsi"/>
        </w:rPr>
      </w:pPr>
    </w:p>
    <w:sectPr w:rsidR="006970FB" w:rsidSect="00AD12B0">
      <w:headerReference w:type="default" r:id="rId10"/>
      <w:type w:val="continuous"/>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18DB" w14:textId="77777777" w:rsidR="00BE2E56" w:rsidRDefault="00BE2E56" w:rsidP="00A1538A">
      <w:pPr>
        <w:spacing w:after="0" w:line="240" w:lineRule="auto"/>
      </w:pPr>
      <w:r>
        <w:separator/>
      </w:r>
    </w:p>
  </w:endnote>
  <w:endnote w:type="continuationSeparator" w:id="0">
    <w:p w14:paraId="05A51D2B" w14:textId="77777777" w:rsidR="00BE2E56" w:rsidRDefault="00BE2E56"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9434" w14:textId="77777777" w:rsidR="00BE2E56" w:rsidRDefault="00BE2E56" w:rsidP="00A1538A">
      <w:pPr>
        <w:spacing w:after="0" w:line="240" w:lineRule="auto"/>
      </w:pPr>
      <w:r>
        <w:separator/>
      </w:r>
    </w:p>
  </w:footnote>
  <w:footnote w:type="continuationSeparator" w:id="0">
    <w:p w14:paraId="557610A9" w14:textId="77777777" w:rsidR="00BE2E56" w:rsidRDefault="00BE2E56" w:rsidP="00A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8B05" w14:textId="77777777" w:rsidR="00A1538A" w:rsidRDefault="00E7363F">
    <w:pPr>
      <w:pStyle w:val="Header"/>
    </w:pPr>
    <w:r>
      <w:rPr>
        <w:noProof/>
        <w:lang w:val="en-GB" w:eastAsia="en-GB"/>
      </w:rPr>
      <w:drawing>
        <wp:anchor distT="0" distB="0" distL="114300" distR="114300" simplePos="0" relativeHeight="251659264" behindDoc="0" locked="0" layoutInCell="1" allowOverlap="1" wp14:anchorId="6E6983B4" wp14:editId="60EE7937">
          <wp:simplePos x="0" y="0"/>
          <wp:positionH relativeFrom="page">
            <wp:posOffset>-3810</wp:posOffset>
          </wp:positionH>
          <wp:positionV relativeFrom="page">
            <wp:posOffset>-1905</wp:posOffset>
          </wp:positionV>
          <wp:extent cx="7564755" cy="1069848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143"/>
    <w:multiLevelType w:val="hybridMultilevel"/>
    <w:tmpl w:val="25DE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27BC"/>
    <w:multiLevelType w:val="hybridMultilevel"/>
    <w:tmpl w:val="2FBA59A6"/>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DD1A99"/>
    <w:multiLevelType w:val="hybridMultilevel"/>
    <w:tmpl w:val="0CBA7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E0F2F"/>
    <w:multiLevelType w:val="hybridMultilevel"/>
    <w:tmpl w:val="588C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05437"/>
    <w:multiLevelType w:val="hybridMultilevel"/>
    <w:tmpl w:val="F220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158F3"/>
    <w:multiLevelType w:val="hybridMultilevel"/>
    <w:tmpl w:val="6D0A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84CE0"/>
    <w:multiLevelType w:val="hybridMultilevel"/>
    <w:tmpl w:val="3236A462"/>
    <w:lvl w:ilvl="0" w:tplc="08090001">
      <w:start w:val="1"/>
      <w:numFmt w:val="bullet"/>
      <w:lvlText w:val=""/>
      <w:lvlJc w:val="left"/>
      <w:pPr>
        <w:ind w:left="720" w:hanging="360"/>
      </w:pPr>
      <w:rPr>
        <w:rFonts w:ascii="Symbol" w:hAnsi="Symbol" w:hint="default"/>
      </w:rPr>
    </w:lvl>
    <w:lvl w:ilvl="1" w:tplc="D018D420">
      <w:numFmt w:val="bullet"/>
      <w:lvlText w:val="•"/>
      <w:lvlJc w:val="left"/>
      <w:pPr>
        <w:ind w:left="1800" w:hanging="72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96424"/>
    <w:multiLevelType w:val="hybridMultilevel"/>
    <w:tmpl w:val="AA3AE382"/>
    <w:lvl w:ilvl="0" w:tplc="D87A6B38">
      <w:numFmt w:val="bullet"/>
      <w:lvlText w:val="•"/>
      <w:lvlJc w:val="left"/>
      <w:pPr>
        <w:ind w:left="360" w:hanging="360"/>
      </w:pPr>
      <w:rPr>
        <w:rFonts w:ascii="Arial" w:eastAsia="Times New Roman"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8004AF"/>
    <w:multiLevelType w:val="hybridMultilevel"/>
    <w:tmpl w:val="CD4E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444A1"/>
    <w:multiLevelType w:val="hybridMultilevel"/>
    <w:tmpl w:val="44C00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A20630"/>
    <w:multiLevelType w:val="hybridMultilevel"/>
    <w:tmpl w:val="01C6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025D49"/>
    <w:multiLevelType w:val="hybridMultilevel"/>
    <w:tmpl w:val="C3C63270"/>
    <w:lvl w:ilvl="0" w:tplc="2216F50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0"/>
  </w:num>
  <w:num w:numId="6">
    <w:abstractNumId w:val="1"/>
  </w:num>
  <w:num w:numId="7">
    <w:abstractNumId w:val="9"/>
  </w:num>
  <w:num w:numId="8">
    <w:abstractNumId w:val="2"/>
  </w:num>
  <w:num w:numId="9">
    <w:abstractNumId w:val="11"/>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1538A"/>
    <w:rsid w:val="00022DDD"/>
    <w:rsid w:val="00037CF9"/>
    <w:rsid w:val="000528E4"/>
    <w:rsid w:val="00067F20"/>
    <w:rsid w:val="000905BA"/>
    <w:rsid w:val="000A23FE"/>
    <w:rsid w:val="00140619"/>
    <w:rsid w:val="00142357"/>
    <w:rsid w:val="0015171F"/>
    <w:rsid w:val="001A6A5D"/>
    <w:rsid w:val="001C6109"/>
    <w:rsid w:val="002246DE"/>
    <w:rsid w:val="00260BB3"/>
    <w:rsid w:val="002A458C"/>
    <w:rsid w:val="002A742A"/>
    <w:rsid w:val="002E6E47"/>
    <w:rsid w:val="003006B9"/>
    <w:rsid w:val="00311E01"/>
    <w:rsid w:val="0037093D"/>
    <w:rsid w:val="003B1BE0"/>
    <w:rsid w:val="003B44A4"/>
    <w:rsid w:val="003C2A0B"/>
    <w:rsid w:val="003D58B5"/>
    <w:rsid w:val="003D7989"/>
    <w:rsid w:val="00404B2E"/>
    <w:rsid w:val="00463649"/>
    <w:rsid w:val="004A1447"/>
    <w:rsid w:val="004A1715"/>
    <w:rsid w:val="004B0B0F"/>
    <w:rsid w:val="004C4C6C"/>
    <w:rsid w:val="004F0B57"/>
    <w:rsid w:val="004F1B6D"/>
    <w:rsid w:val="00522B8B"/>
    <w:rsid w:val="00565EDB"/>
    <w:rsid w:val="00574A02"/>
    <w:rsid w:val="005A1F60"/>
    <w:rsid w:val="005B2905"/>
    <w:rsid w:val="005C16A1"/>
    <w:rsid w:val="005D6AA9"/>
    <w:rsid w:val="005E1A59"/>
    <w:rsid w:val="0061490B"/>
    <w:rsid w:val="00614D26"/>
    <w:rsid w:val="00621B12"/>
    <w:rsid w:val="00637E0C"/>
    <w:rsid w:val="00661EB8"/>
    <w:rsid w:val="006970FB"/>
    <w:rsid w:val="006B7C4F"/>
    <w:rsid w:val="006C1D50"/>
    <w:rsid w:val="006D0BF7"/>
    <w:rsid w:val="006E37A8"/>
    <w:rsid w:val="006F3AEB"/>
    <w:rsid w:val="006F5E49"/>
    <w:rsid w:val="00702581"/>
    <w:rsid w:val="00704664"/>
    <w:rsid w:val="00704D39"/>
    <w:rsid w:val="007851CE"/>
    <w:rsid w:val="007949EE"/>
    <w:rsid w:val="007B6D62"/>
    <w:rsid w:val="007C1391"/>
    <w:rsid w:val="007F10D4"/>
    <w:rsid w:val="007F5EDE"/>
    <w:rsid w:val="008002FA"/>
    <w:rsid w:val="00801397"/>
    <w:rsid w:val="008C4F75"/>
    <w:rsid w:val="00937745"/>
    <w:rsid w:val="009500C7"/>
    <w:rsid w:val="00965501"/>
    <w:rsid w:val="0097499E"/>
    <w:rsid w:val="009758D7"/>
    <w:rsid w:val="009865E7"/>
    <w:rsid w:val="009B532C"/>
    <w:rsid w:val="009C0D32"/>
    <w:rsid w:val="009C49F7"/>
    <w:rsid w:val="009C6E69"/>
    <w:rsid w:val="00A01BA9"/>
    <w:rsid w:val="00A042EA"/>
    <w:rsid w:val="00A1538A"/>
    <w:rsid w:val="00A17B86"/>
    <w:rsid w:val="00A20713"/>
    <w:rsid w:val="00A4543A"/>
    <w:rsid w:val="00A7638F"/>
    <w:rsid w:val="00A76746"/>
    <w:rsid w:val="00A96FE9"/>
    <w:rsid w:val="00AA476E"/>
    <w:rsid w:val="00AA72DA"/>
    <w:rsid w:val="00AA75C1"/>
    <w:rsid w:val="00AD0026"/>
    <w:rsid w:val="00AD12B0"/>
    <w:rsid w:val="00B21D71"/>
    <w:rsid w:val="00B42896"/>
    <w:rsid w:val="00B47923"/>
    <w:rsid w:val="00B551FE"/>
    <w:rsid w:val="00B93159"/>
    <w:rsid w:val="00BB1F78"/>
    <w:rsid w:val="00BE2E56"/>
    <w:rsid w:val="00C25FE2"/>
    <w:rsid w:val="00C465A3"/>
    <w:rsid w:val="00C5237A"/>
    <w:rsid w:val="00C70290"/>
    <w:rsid w:val="00CE47AD"/>
    <w:rsid w:val="00D002CE"/>
    <w:rsid w:val="00D003BD"/>
    <w:rsid w:val="00D009D6"/>
    <w:rsid w:val="00D1544F"/>
    <w:rsid w:val="00D52FD9"/>
    <w:rsid w:val="00D562B9"/>
    <w:rsid w:val="00D76FB2"/>
    <w:rsid w:val="00D96B05"/>
    <w:rsid w:val="00E164D8"/>
    <w:rsid w:val="00E44CAF"/>
    <w:rsid w:val="00E7363F"/>
    <w:rsid w:val="00E75AAD"/>
    <w:rsid w:val="00E90260"/>
    <w:rsid w:val="00EA4548"/>
    <w:rsid w:val="00EB1A76"/>
    <w:rsid w:val="00EE42AD"/>
    <w:rsid w:val="00EF7ADE"/>
    <w:rsid w:val="00F00061"/>
    <w:rsid w:val="00F06D86"/>
    <w:rsid w:val="00F32943"/>
    <w:rsid w:val="00F5190D"/>
    <w:rsid w:val="00F5757F"/>
    <w:rsid w:val="00F817DE"/>
    <w:rsid w:val="00F91779"/>
    <w:rsid w:val="00F92209"/>
    <w:rsid w:val="00F94E1A"/>
    <w:rsid w:val="00FA3DFC"/>
    <w:rsid w:val="00FB5803"/>
    <w:rsid w:val="00FC0E4F"/>
    <w:rsid w:val="00FE0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7E1E35"/>
  <w14:defaultImageDpi w14:val="300"/>
  <w15:docId w15:val="{91F956BC-CC38-49E9-8756-632FD939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8A"/>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4F1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3649"/>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locked/>
    <w:rsid w:val="00463649"/>
    <w:rPr>
      <w:rFonts w:eastAsiaTheme="minorHAnsi"/>
      <w:sz w:val="22"/>
      <w:szCs w:val="22"/>
      <w:lang w:val="en-GB"/>
    </w:rPr>
  </w:style>
  <w:style w:type="paragraph" w:styleId="FootnoteText">
    <w:name w:val="footnote text"/>
    <w:basedOn w:val="Normal"/>
    <w:link w:val="FootnoteTextChar"/>
    <w:uiPriority w:val="99"/>
    <w:semiHidden/>
    <w:unhideWhenUsed/>
    <w:rsid w:val="0046364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63649"/>
    <w:rPr>
      <w:rFonts w:eastAsiaTheme="minorHAnsi"/>
      <w:sz w:val="20"/>
      <w:szCs w:val="20"/>
      <w:lang w:val="en-GB"/>
    </w:rPr>
  </w:style>
  <w:style w:type="character" w:styleId="FootnoteReference">
    <w:name w:val="footnote reference"/>
    <w:basedOn w:val="DefaultParagraphFont"/>
    <w:uiPriority w:val="99"/>
    <w:semiHidden/>
    <w:unhideWhenUsed/>
    <w:rsid w:val="00463649"/>
    <w:rPr>
      <w:vertAlign w:val="superscript"/>
    </w:rPr>
  </w:style>
  <w:style w:type="character" w:customStyle="1" w:styleId="Heading1Char">
    <w:name w:val="Heading 1 Char"/>
    <w:basedOn w:val="DefaultParagraphFont"/>
    <w:link w:val="Heading1"/>
    <w:uiPriority w:val="9"/>
    <w:rsid w:val="004F1B6D"/>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3B44A4"/>
    <w:rPr>
      <w:color w:val="0000FF" w:themeColor="hyperlink"/>
      <w:u w:val="single"/>
    </w:rPr>
  </w:style>
  <w:style w:type="paragraph" w:styleId="NormalWeb">
    <w:name w:val="Normal (Web)"/>
    <w:basedOn w:val="Normal"/>
    <w:uiPriority w:val="99"/>
    <w:semiHidden/>
    <w:unhideWhenUsed/>
    <w:rsid w:val="007851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D7"/>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1C6109"/>
    <w:rPr>
      <w:sz w:val="16"/>
      <w:szCs w:val="16"/>
    </w:rPr>
  </w:style>
  <w:style w:type="paragraph" w:styleId="CommentText">
    <w:name w:val="annotation text"/>
    <w:basedOn w:val="Normal"/>
    <w:link w:val="CommentTextChar"/>
    <w:uiPriority w:val="99"/>
    <w:semiHidden/>
    <w:unhideWhenUsed/>
    <w:rsid w:val="001C6109"/>
    <w:pPr>
      <w:spacing w:line="240" w:lineRule="auto"/>
    </w:pPr>
    <w:rPr>
      <w:sz w:val="20"/>
      <w:szCs w:val="20"/>
    </w:rPr>
  </w:style>
  <w:style w:type="character" w:customStyle="1" w:styleId="CommentTextChar">
    <w:name w:val="Comment Text Char"/>
    <w:basedOn w:val="DefaultParagraphFont"/>
    <w:link w:val="CommentText"/>
    <w:uiPriority w:val="99"/>
    <w:semiHidden/>
    <w:rsid w:val="001C6109"/>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1C6109"/>
    <w:rPr>
      <w:b/>
      <w:bCs/>
    </w:rPr>
  </w:style>
  <w:style w:type="character" w:customStyle="1" w:styleId="CommentSubjectChar">
    <w:name w:val="Comment Subject Char"/>
    <w:basedOn w:val="CommentTextChar"/>
    <w:link w:val="CommentSubject"/>
    <w:uiPriority w:val="99"/>
    <w:semiHidden/>
    <w:rsid w:val="001C6109"/>
    <w:rPr>
      <w:b/>
      <w:bCs/>
      <w:sz w:val="20"/>
      <w:szCs w:val="20"/>
      <w:lang w:val="en-GB" w:eastAsia="en-GB"/>
    </w:rPr>
  </w:style>
  <w:style w:type="paragraph" w:customStyle="1" w:styleId="xmsonormal">
    <w:name w:val="x_msonormal"/>
    <w:basedOn w:val="Normal"/>
    <w:uiPriority w:val="99"/>
    <w:rsid w:val="005A1F60"/>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55349">
      <w:bodyDiv w:val="1"/>
      <w:marLeft w:val="0"/>
      <w:marRight w:val="0"/>
      <w:marTop w:val="0"/>
      <w:marBottom w:val="0"/>
      <w:divBdr>
        <w:top w:val="none" w:sz="0" w:space="0" w:color="auto"/>
        <w:left w:val="none" w:sz="0" w:space="0" w:color="auto"/>
        <w:bottom w:val="none" w:sz="0" w:space="0" w:color="auto"/>
        <w:right w:val="none" w:sz="0" w:space="0" w:color="auto"/>
      </w:divBdr>
    </w:div>
    <w:div w:id="1010253362">
      <w:bodyDiv w:val="1"/>
      <w:marLeft w:val="0"/>
      <w:marRight w:val="0"/>
      <w:marTop w:val="0"/>
      <w:marBottom w:val="0"/>
      <w:divBdr>
        <w:top w:val="none" w:sz="0" w:space="0" w:color="auto"/>
        <w:left w:val="none" w:sz="0" w:space="0" w:color="auto"/>
        <w:bottom w:val="none" w:sz="0" w:space="0" w:color="auto"/>
        <w:right w:val="none" w:sz="0" w:space="0" w:color="auto"/>
      </w:divBdr>
    </w:div>
    <w:div w:id="1505197911">
      <w:bodyDiv w:val="1"/>
      <w:marLeft w:val="0"/>
      <w:marRight w:val="0"/>
      <w:marTop w:val="0"/>
      <w:marBottom w:val="0"/>
      <w:divBdr>
        <w:top w:val="none" w:sz="0" w:space="0" w:color="auto"/>
        <w:left w:val="none" w:sz="0" w:space="0" w:color="auto"/>
        <w:bottom w:val="none" w:sz="0" w:space="0" w:color="auto"/>
        <w:right w:val="none" w:sz="0" w:space="0" w:color="auto"/>
      </w:divBdr>
    </w:div>
    <w:div w:id="1946693256">
      <w:bodyDiv w:val="1"/>
      <w:marLeft w:val="0"/>
      <w:marRight w:val="0"/>
      <w:marTop w:val="0"/>
      <w:marBottom w:val="0"/>
      <w:divBdr>
        <w:top w:val="none" w:sz="0" w:space="0" w:color="auto"/>
        <w:left w:val="none" w:sz="0" w:space="0" w:color="auto"/>
        <w:bottom w:val="none" w:sz="0" w:space="0" w:color="auto"/>
        <w:right w:val="none" w:sz="0" w:space="0" w:color="auto"/>
      </w:divBdr>
    </w:div>
    <w:div w:id="2084259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3DAA.F28E12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DC@srf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Sykes, Sue</cp:lastModifiedBy>
  <cp:revision>2</cp:revision>
  <dcterms:created xsi:type="dcterms:W3CDTF">2022-03-21T14:45:00Z</dcterms:created>
  <dcterms:modified xsi:type="dcterms:W3CDTF">2022-03-21T14:45:00Z</dcterms:modified>
</cp:coreProperties>
</file>